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0" w:type="dxa"/>
        <w:tblInd w:w="-20" w:type="dxa"/>
        <w:tblLayout w:type="fixed"/>
        <w:tblCellMar>
          <w:left w:w="0" w:type="dxa"/>
          <w:right w:w="0" w:type="dxa"/>
        </w:tblCellMar>
        <w:tblLook w:val="0000" w:firstRow="0" w:lastRow="0" w:firstColumn="0" w:lastColumn="0" w:noHBand="0" w:noVBand="0"/>
      </w:tblPr>
      <w:tblGrid>
        <w:gridCol w:w="580"/>
        <w:gridCol w:w="2840"/>
        <w:gridCol w:w="6240"/>
      </w:tblGrid>
      <w:tr w:rsidR="00BF488D" w:rsidTr="00FC7949">
        <w:trPr>
          <w:trHeight w:val="253"/>
        </w:trPr>
        <w:tc>
          <w:tcPr>
            <w:tcW w:w="580" w:type="dxa"/>
            <w:shd w:val="clear" w:color="auto" w:fill="auto"/>
            <w:vAlign w:val="bottom"/>
          </w:tcPr>
          <w:p w:rsidR="00BF488D" w:rsidRDefault="00BF488D" w:rsidP="00A11F01">
            <w:pPr>
              <w:spacing w:line="0" w:lineRule="atLeast"/>
              <w:rPr>
                <w:rFonts w:ascii="Times New Roman" w:eastAsia="Times New Roman" w:hAnsi="Times New Roman"/>
                <w:sz w:val="21"/>
              </w:rPr>
            </w:pPr>
          </w:p>
        </w:tc>
        <w:tc>
          <w:tcPr>
            <w:tcW w:w="2840" w:type="dxa"/>
            <w:shd w:val="clear" w:color="auto" w:fill="auto"/>
            <w:vAlign w:val="bottom"/>
          </w:tcPr>
          <w:p w:rsidR="00BF488D" w:rsidRDefault="00BF488D" w:rsidP="00A11F01">
            <w:pPr>
              <w:spacing w:line="0" w:lineRule="atLeast"/>
              <w:rPr>
                <w:rFonts w:ascii="Times New Roman" w:eastAsia="Times New Roman" w:hAnsi="Times New Roman"/>
                <w:sz w:val="21"/>
              </w:rPr>
            </w:pPr>
          </w:p>
        </w:tc>
        <w:tc>
          <w:tcPr>
            <w:tcW w:w="6240" w:type="dxa"/>
            <w:shd w:val="clear" w:color="auto" w:fill="auto"/>
            <w:vAlign w:val="bottom"/>
          </w:tcPr>
          <w:p w:rsidR="00BF488D" w:rsidRDefault="00BF488D" w:rsidP="0063135E">
            <w:pPr>
              <w:spacing w:line="252" w:lineRule="exact"/>
              <w:ind w:left="440"/>
              <w:rPr>
                <w:rFonts w:ascii="Arial" w:eastAsia="Arial" w:hAnsi="Arial"/>
                <w:b/>
                <w:sz w:val="22"/>
              </w:rPr>
            </w:pPr>
            <w:r>
              <w:rPr>
                <w:rFonts w:ascii="Arial" w:eastAsia="Arial" w:hAnsi="Arial"/>
                <w:b/>
                <w:sz w:val="22"/>
              </w:rPr>
              <w:t>Scheda intervento</w:t>
            </w:r>
            <w:r w:rsidR="00027944">
              <w:rPr>
                <w:rFonts w:ascii="Arial" w:eastAsia="Arial" w:hAnsi="Arial"/>
                <w:b/>
                <w:sz w:val="22"/>
              </w:rPr>
              <w:t xml:space="preserve"> </w:t>
            </w:r>
            <w:r w:rsidR="00850473">
              <w:rPr>
                <w:rFonts w:ascii="Arial" w:eastAsia="Arial" w:hAnsi="Arial"/>
                <w:b/>
                <w:sz w:val="22"/>
              </w:rPr>
              <w:t>MO</w:t>
            </w:r>
            <w:r w:rsidR="00027944">
              <w:rPr>
                <w:rFonts w:ascii="Arial" w:eastAsia="Arial" w:hAnsi="Arial"/>
                <w:b/>
                <w:sz w:val="22"/>
              </w:rPr>
              <w:t>.0</w:t>
            </w:r>
            <w:r w:rsidR="00AA48E5">
              <w:rPr>
                <w:rFonts w:ascii="Arial" w:eastAsia="Arial" w:hAnsi="Arial"/>
                <w:b/>
                <w:sz w:val="22"/>
              </w:rPr>
              <w:t>4</w:t>
            </w:r>
          </w:p>
        </w:tc>
      </w:tr>
      <w:tr w:rsidR="00BF488D" w:rsidTr="00FC7949">
        <w:trPr>
          <w:trHeight w:val="357"/>
        </w:trPr>
        <w:tc>
          <w:tcPr>
            <w:tcW w:w="58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284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624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r>
      <w:tr w:rsidR="00BF488D" w:rsidTr="00FC7949">
        <w:trPr>
          <w:trHeight w:val="178"/>
        </w:trPr>
        <w:tc>
          <w:tcPr>
            <w:tcW w:w="580" w:type="dxa"/>
            <w:tcBorders>
              <w:left w:val="single" w:sz="8" w:space="0" w:color="auto"/>
              <w:right w:val="single" w:sz="8" w:space="0" w:color="auto"/>
            </w:tcBorders>
            <w:shd w:val="clear" w:color="auto" w:fill="auto"/>
          </w:tcPr>
          <w:p w:rsidR="00BF488D" w:rsidRDefault="00A11F01" w:rsidP="00A11F01">
            <w:pPr>
              <w:spacing w:line="177" w:lineRule="exact"/>
              <w:ind w:right="340"/>
              <w:jc w:val="center"/>
              <w:rPr>
                <w:rFonts w:ascii="Arial" w:eastAsia="Arial" w:hAnsi="Arial"/>
                <w:b/>
                <w:sz w:val="16"/>
              </w:rPr>
            </w:pPr>
            <w:r>
              <w:rPr>
                <w:rFonts w:ascii="Arial" w:eastAsia="Arial" w:hAnsi="Arial"/>
                <w:b/>
                <w:sz w:val="16"/>
              </w:rPr>
              <w:t xml:space="preserve">  </w:t>
            </w:r>
            <w:r w:rsidR="00B52D12">
              <w:rPr>
                <w:rFonts w:ascii="Arial" w:eastAsia="Arial" w:hAnsi="Arial"/>
                <w:b/>
                <w:sz w:val="16"/>
              </w:rPr>
              <w:t>1</w:t>
            </w:r>
          </w:p>
        </w:tc>
        <w:tc>
          <w:tcPr>
            <w:tcW w:w="2840" w:type="dxa"/>
            <w:tcBorders>
              <w:right w:val="single" w:sz="8" w:space="0" w:color="auto"/>
            </w:tcBorders>
            <w:shd w:val="clear" w:color="auto" w:fill="auto"/>
          </w:tcPr>
          <w:p w:rsidR="00BF488D" w:rsidRDefault="00BF488D" w:rsidP="00A11F01">
            <w:pPr>
              <w:spacing w:line="177" w:lineRule="exact"/>
              <w:ind w:left="60"/>
              <w:rPr>
                <w:rFonts w:ascii="Arial" w:eastAsia="Arial" w:hAnsi="Arial"/>
                <w:b/>
                <w:sz w:val="16"/>
              </w:rPr>
            </w:pPr>
            <w:r>
              <w:rPr>
                <w:rFonts w:ascii="Arial" w:eastAsia="Arial" w:hAnsi="Arial"/>
                <w:b/>
                <w:sz w:val="16"/>
              </w:rPr>
              <w:t>Codice intervento e Titolo</w:t>
            </w:r>
          </w:p>
        </w:tc>
        <w:tc>
          <w:tcPr>
            <w:tcW w:w="6240" w:type="dxa"/>
            <w:tcBorders>
              <w:right w:val="single" w:sz="8" w:space="0" w:color="auto"/>
            </w:tcBorders>
            <w:shd w:val="clear" w:color="auto" w:fill="auto"/>
            <w:vAlign w:val="bottom"/>
          </w:tcPr>
          <w:p w:rsidR="00BF488D" w:rsidRPr="00A11F01" w:rsidRDefault="00AA48E5" w:rsidP="00AA48E5">
            <w:pPr>
              <w:autoSpaceDE w:val="0"/>
              <w:autoSpaceDN w:val="0"/>
              <w:adjustRightInd w:val="0"/>
              <w:jc w:val="both"/>
              <w:rPr>
                <w:b/>
              </w:rPr>
            </w:pPr>
            <w:r>
              <w:rPr>
                <w:b/>
                <w:noProof/>
              </w:rPr>
              <w:t>MO.04</w:t>
            </w:r>
            <w:r w:rsidR="00A11F01">
              <w:rPr>
                <w:b/>
                <w:noProof/>
              </w:rPr>
              <w:t xml:space="preserve"> </w:t>
            </w:r>
            <w:r w:rsidR="00871276">
              <w:rPr>
                <w:b/>
                <w:noProof/>
              </w:rPr>
              <w:t>–</w:t>
            </w:r>
            <w:r w:rsidR="00A11F01">
              <w:rPr>
                <w:b/>
                <w:noProof/>
              </w:rPr>
              <w:t xml:space="preserve"> </w:t>
            </w:r>
            <w:r>
              <w:rPr>
                <w:b/>
                <w:noProof/>
              </w:rPr>
              <w:t>Ausili per la mobilità nei borghi storici</w:t>
            </w:r>
          </w:p>
        </w:tc>
      </w:tr>
      <w:tr w:rsidR="00BF488D" w:rsidTr="00FC7949">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FC7949">
        <w:trPr>
          <w:trHeight w:val="180"/>
        </w:trPr>
        <w:tc>
          <w:tcPr>
            <w:tcW w:w="580" w:type="dxa"/>
            <w:tcBorders>
              <w:left w:val="single" w:sz="8" w:space="0" w:color="auto"/>
              <w:right w:val="single" w:sz="8" w:space="0" w:color="auto"/>
            </w:tcBorders>
            <w:shd w:val="clear" w:color="auto" w:fill="auto"/>
          </w:tcPr>
          <w:p w:rsidR="00BF488D" w:rsidRDefault="00E566D0" w:rsidP="00E566D0">
            <w:pPr>
              <w:spacing w:line="179" w:lineRule="exact"/>
              <w:ind w:right="340"/>
              <w:jc w:val="center"/>
              <w:rPr>
                <w:rFonts w:ascii="Arial" w:eastAsia="Arial" w:hAnsi="Arial"/>
                <w:b/>
                <w:sz w:val="16"/>
              </w:rPr>
            </w:pPr>
            <w:r>
              <w:rPr>
                <w:rFonts w:ascii="Arial" w:eastAsia="Arial" w:hAnsi="Arial"/>
                <w:b/>
                <w:sz w:val="16"/>
              </w:rPr>
              <w:t xml:space="preserve"> </w:t>
            </w:r>
            <w:r w:rsidR="00B52D12">
              <w:rPr>
                <w:rFonts w:ascii="Arial" w:eastAsia="Arial" w:hAnsi="Arial"/>
                <w:b/>
                <w:sz w:val="16"/>
              </w:rPr>
              <w:t>2</w:t>
            </w:r>
          </w:p>
        </w:tc>
        <w:tc>
          <w:tcPr>
            <w:tcW w:w="2840" w:type="dxa"/>
            <w:tcBorders>
              <w:right w:val="single" w:sz="8" w:space="0" w:color="auto"/>
            </w:tcBorders>
            <w:shd w:val="clear" w:color="auto" w:fill="auto"/>
          </w:tcPr>
          <w:p w:rsidR="00BF488D" w:rsidRDefault="00BF488D" w:rsidP="00E566D0">
            <w:pPr>
              <w:spacing w:line="179" w:lineRule="exact"/>
              <w:ind w:left="60"/>
              <w:rPr>
                <w:rFonts w:ascii="Arial" w:eastAsia="Arial" w:hAnsi="Arial"/>
                <w:b/>
                <w:sz w:val="16"/>
              </w:rPr>
            </w:pPr>
            <w:r>
              <w:rPr>
                <w:rFonts w:ascii="Arial" w:eastAsia="Arial" w:hAnsi="Arial"/>
                <w:b/>
                <w:sz w:val="16"/>
              </w:rPr>
              <w:t>Costo e copertura finanziaria</w:t>
            </w:r>
          </w:p>
        </w:tc>
        <w:tc>
          <w:tcPr>
            <w:tcW w:w="6240" w:type="dxa"/>
            <w:tcBorders>
              <w:right w:val="single" w:sz="8" w:space="0" w:color="auto"/>
            </w:tcBorders>
            <w:shd w:val="clear" w:color="auto" w:fill="auto"/>
            <w:vAlign w:val="bottom"/>
          </w:tcPr>
          <w:p w:rsidR="00BF488D" w:rsidRDefault="00E566D0" w:rsidP="00A11F01">
            <w:pPr>
              <w:spacing w:line="177" w:lineRule="exact"/>
              <w:ind w:left="60"/>
              <w:rPr>
                <w:rFonts w:ascii="Arial" w:eastAsia="Arial" w:hAnsi="Arial"/>
                <w:b/>
                <w:sz w:val="16"/>
              </w:rPr>
            </w:pPr>
            <w:r>
              <w:rPr>
                <w:rFonts w:ascii="Arial" w:eastAsia="Arial" w:hAnsi="Arial"/>
                <w:b/>
                <w:sz w:val="16"/>
              </w:rPr>
              <w:t xml:space="preserve">EURO </w:t>
            </w:r>
            <w:r w:rsidR="00AA48E5">
              <w:rPr>
                <w:rFonts w:ascii="Arial" w:eastAsia="Arial" w:hAnsi="Arial"/>
                <w:b/>
                <w:sz w:val="16"/>
              </w:rPr>
              <w:t>70</w:t>
            </w:r>
            <w:r w:rsidR="00445281">
              <w:rPr>
                <w:rFonts w:ascii="Arial" w:eastAsia="Arial" w:hAnsi="Arial"/>
                <w:b/>
                <w:sz w:val="16"/>
              </w:rPr>
              <w:t>.000,00</w:t>
            </w:r>
          </w:p>
          <w:p w:rsidR="00E566D0" w:rsidRDefault="00E566D0" w:rsidP="00A11F01">
            <w:pPr>
              <w:spacing w:line="177" w:lineRule="exact"/>
              <w:ind w:left="60"/>
              <w:rPr>
                <w:rFonts w:ascii="Arial" w:eastAsia="Arial" w:hAnsi="Arial"/>
                <w:b/>
                <w:sz w:val="16"/>
              </w:rPr>
            </w:pPr>
            <w:r>
              <w:rPr>
                <w:rFonts w:ascii="Arial" w:eastAsia="Arial" w:hAnsi="Arial"/>
                <w:b/>
                <w:sz w:val="16"/>
              </w:rPr>
              <w:t>LEGGE DI STABILITA’</w:t>
            </w:r>
          </w:p>
        </w:tc>
      </w:tr>
      <w:tr w:rsidR="00BF488D" w:rsidTr="00FC7949">
        <w:trPr>
          <w:trHeight w:val="218"/>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Default="00BF488D" w:rsidP="00FC7949">
            <w:pPr>
              <w:spacing w:line="0" w:lineRule="atLeast"/>
              <w:rPr>
                <w:rFonts w:ascii="Arial" w:eastAsia="Arial" w:hAnsi="Arial"/>
                <w:b/>
                <w:sz w:val="16"/>
              </w:rPr>
            </w:pPr>
          </w:p>
        </w:tc>
      </w:tr>
      <w:tr w:rsidR="00BF488D" w:rsidTr="00FC7949">
        <w:trPr>
          <w:trHeight w:val="9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r>
      <w:tr w:rsidR="00BF488D" w:rsidTr="00FC7949">
        <w:trPr>
          <w:trHeight w:val="178"/>
        </w:trPr>
        <w:tc>
          <w:tcPr>
            <w:tcW w:w="580" w:type="dxa"/>
            <w:tcBorders>
              <w:left w:val="single" w:sz="8" w:space="0" w:color="auto"/>
              <w:right w:val="single" w:sz="8" w:space="0" w:color="auto"/>
            </w:tcBorders>
            <w:shd w:val="clear" w:color="auto" w:fill="auto"/>
            <w:vAlign w:val="bottom"/>
          </w:tcPr>
          <w:p w:rsidR="00BF488D" w:rsidRDefault="00B52D12" w:rsidP="00A11F01">
            <w:pPr>
              <w:spacing w:line="178" w:lineRule="exact"/>
              <w:ind w:right="340"/>
              <w:jc w:val="right"/>
              <w:rPr>
                <w:rFonts w:ascii="Arial" w:eastAsia="Arial" w:hAnsi="Arial"/>
                <w:b/>
                <w:sz w:val="16"/>
              </w:rPr>
            </w:pPr>
            <w:r>
              <w:rPr>
                <w:rFonts w:ascii="Arial" w:eastAsia="Arial" w:hAnsi="Arial"/>
                <w:b/>
                <w:sz w:val="16"/>
              </w:rPr>
              <w:t>3</w:t>
            </w:r>
          </w:p>
        </w:tc>
        <w:tc>
          <w:tcPr>
            <w:tcW w:w="2840" w:type="dxa"/>
            <w:tcBorders>
              <w:right w:val="single" w:sz="8" w:space="0" w:color="auto"/>
            </w:tcBorders>
            <w:shd w:val="clear" w:color="auto" w:fill="auto"/>
            <w:vAlign w:val="bottom"/>
          </w:tcPr>
          <w:p w:rsidR="00BF488D" w:rsidRDefault="00BF488D" w:rsidP="00A11F01">
            <w:pPr>
              <w:spacing w:line="178" w:lineRule="exact"/>
              <w:ind w:left="60"/>
              <w:rPr>
                <w:rFonts w:ascii="Arial" w:eastAsia="Arial" w:hAnsi="Arial"/>
                <w:b/>
                <w:sz w:val="16"/>
              </w:rPr>
            </w:pPr>
            <w:r>
              <w:rPr>
                <w:rFonts w:ascii="Arial" w:eastAsia="Arial" w:hAnsi="Arial"/>
                <w:b/>
                <w:sz w:val="16"/>
              </w:rPr>
              <w:t>Oggetto dell'intervento</w:t>
            </w:r>
          </w:p>
        </w:tc>
        <w:tc>
          <w:tcPr>
            <w:tcW w:w="6240" w:type="dxa"/>
            <w:tcBorders>
              <w:right w:val="single" w:sz="8" w:space="0" w:color="auto"/>
            </w:tcBorders>
            <w:shd w:val="clear" w:color="auto" w:fill="auto"/>
            <w:vAlign w:val="bottom"/>
          </w:tcPr>
          <w:p w:rsidR="00BF488D" w:rsidRDefault="00AA48E5" w:rsidP="00445281">
            <w:pPr>
              <w:spacing w:line="178" w:lineRule="exact"/>
              <w:ind w:left="60"/>
              <w:rPr>
                <w:rFonts w:ascii="Arial" w:eastAsia="Arial" w:hAnsi="Arial"/>
                <w:b/>
                <w:sz w:val="16"/>
              </w:rPr>
            </w:pPr>
            <w:r>
              <w:rPr>
                <w:rFonts w:ascii="Arial" w:eastAsia="Arial" w:hAnsi="Arial"/>
                <w:b/>
                <w:sz w:val="16"/>
              </w:rPr>
              <w:t>I</w:t>
            </w:r>
            <w:r w:rsidRPr="00AA48E5">
              <w:rPr>
                <w:rFonts w:ascii="Arial" w:eastAsia="Arial" w:hAnsi="Arial"/>
                <w:b/>
                <w:sz w:val="16"/>
              </w:rPr>
              <w:t>ntervento per la dotazione di Ausili per la mobilità nei borghi storici.</w:t>
            </w:r>
          </w:p>
        </w:tc>
      </w:tr>
      <w:tr w:rsidR="00BF488D" w:rsidTr="00FC7949">
        <w:trPr>
          <w:trHeight w:val="214"/>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
        </w:tc>
      </w:tr>
      <w:tr w:rsidR="00BF488D" w:rsidTr="00FC7949">
        <w:trPr>
          <w:trHeight w:val="50"/>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4"/>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4"/>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4"/>
              </w:rPr>
            </w:pPr>
          </w:p>
        </w:tc>
      </w:tr>
      <w:tr w:rsidR="00BF488D" w:rsidTr="00FC7949">
        <w:trPr>
          <w:trHeight w:val="178"/>
        </w:trPr>
        <w:tc>
          <w:tcPr>
            <w:tcW w:w="580" w:type="dxa"/>
            <w:tcBorders>
              <w:left w:val="single" w:sz="8" w:space="0" w:color="auto"/>
              <w:right w:val="single" w:sz="8" w:space="0" w:color="auto"/>
            </w:tcBorders>
            <w:shd w:val="clear" w:color="auto" w:fill="auto"/>
            <w:vAlign w:val="bottom"/>
          </w:tcPr>
          <w:p w:rsidR="00BF488D" w:rsidRDefault="00B52D12" w:rsidP="00A11F01">
            <w:pPr>
              <w:spacing w:line="177" w:lineRule="exact"/>
              <w:ind w:right="340"/>
              <w:jc w:val="right"/>
              <w:rPr>
                <w:rFonts w:ascii="Arial" w:eastAsia="Arial" w:hAnsi="Arial"/>
                <w:b/>
                <w:sz w:val="16"/>
              </w:rPr>
            </w:pPr>
            <w:r>
              <w:rPr>
                <w:rFonts w:ascii="Arial" w:eastAsia="Arial" w:hAnsi="Arial"/>
                <w:b/>
                <w:sz w:val="16"/>
              </w:rPr>
              <w:t>4</w:t>
            </w:r>
          </w:p>
        </w:tc>
        <w:tc>
          <w:tcPr>
            <w:tcW w:w="2840" w:type="dxa"/>
            <w:tcBorders>
              <w:right w:val="single" w:sz="8" w:space="0" w:color="auto"/>
            </w:tcBorders>
            <w:shd w:val="clear" w:color="auto" w:fill="auto"/>
            <w:vAlign w:val="bottom"/>
          </w:tcPr>
          <w:p w:rsidR="00BF488D" w:rsidRDefault="00BF488D" w:rsidP="00A11F01">
            <w:pPr>
              <w:spacing w:line="177" w:lineRule="exact"/>
              <w:ind w:left="60"/>
              <w:rPr>
                <w:rFonts w:ascii="Arial" w:eastAsia="Arial" w:hAnsi="Arial"/>
                <w:b/>
                <w:sz w:val="16"/>
              </w:rPr>
            </w:pPr>
            <w:r>
              <w:rPr>
                <w:rFonts w:ascii="Arial" w:eastAsia="Arial" w:hAnsi="Arial"/>
                <w:b/>
                <w:sz w:val="16"/>
              </w:rPr>
              <w:t>CUP</w:t>
            </w:r>
          </w:p>
        </w:tc>
        <w:tc>
          <w:tcPr>
            <w:tcW w:w="6240" w:type="dxa"/>
            <w:tcBorders>
              <w:right w:val="single" w:sz="8" w:space="0" w:color="auto"/>
            </w:tcBorders>
            <w:shd w:val="clear" w:color="auto" w:fill="auto"/>
            <w:vAlign w:val="bottom"/>
          </w:tcPr>
          <w:p w:rsidR="00BF488D" w:rsidRDefault="00982B59" w:rsidP="00A11F01">
            <w:pPr>
              <w:spacing w:line="177" w:lineRule="exact"/>
              <w:ind w:left="60"/>
              <w:rPr>
                <w:rFonts w:ascii="Arial" w:eastAsia="Arial" w:hAnsi="Arial"/>
                <w:b/>
                <w:sz w:val="16"/>
              </w:rPr>
            </w:pPr>
            <w:r w:rsidRPr="00982B59">
              <w:rPr>
                <w:rFonts w:ascii="Arial" w:eastAsia="Arial" w:hAnsi="Arial"/>
                <w:b/>
                <w:sz w:val="16"/>
              </w:rPr>
              <w:t>F50C20000030001</w:t>
            </w:r>
            <w:bookmarkStart w:id="0" w:name="_GoBack"/>
            <w:bookmarkEnd w:id="0"/>
          </w:p>
        </w:tc>
      </w:tr>
      <w:tr w:rsidR="00BF488D" w:rsidTr="00FC7949">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FC7949">
        <w:trPr>
          <w:trHeight w:val="178"/>
        </w:trPr>
        <w:tc>
          <w:tcPr>
            <w:tcW w:w="580" w:type="dxa"/>
            <w:tcBorders>
              <w:left w:val="single" w:sz="8" w:space="0" w:color="auto"/>
              <w:right w:val="single" w:sz="8" w:space="0" w:color="auto"/>
            </w:tcBorders>
            <w:shd w:val="clear" w:color="auto" w:fill="auto"/>
            <w:vAlign w:val="bottom"/>
          </w:tcPr>
          <w:p w:rsidR="00BF488D" w:rsidRDefault="00B52D12" w:rsidP="00A11F01">
            <w:pPr>
              <w:spacing w:line="177" w:lineRule="exact"/>
              <w:ind w:right="340"/>
              <w:jc w:val="right"/>
              <w:rPr>
                <w:rFonts w:ascii="Arial" w:eastAsia="Arial" w:hAnsi="Arial"/>
                <w:b/>
                <w:sz w:val="16"/>
              </w:rPr>
            </w:pPr>
            <w:r>
              <w:rPr>
                <w:rFonts w:ascii="Arial" w:eastAsia="Arial" w:hAnsi="Arial"/>
                <w:b/>
                <w:sz w:val="16"/>
              </w:rPr>
              <w:t>5</w:t>
            </w:r>
          </w:p>
        </w:tc>
        <w:tc>
          <w:tcPr>
            <w:tcW w:w="2840" w:type="dxa"/>
            <w:tcBorders>
              <w:right w:val="single" w:sz="8" w:space="0" w:color="auto"/>
            </w:tcBorders>
            <w:shd w:val="clear" w:color="auto" w:fill="auto"/>
            <w:vAlign w:val="bottom"/>
          </w:tcPr>
          <w:p w:rsidR="00BF488D" w:rsidRDefault="00BF488D" w:rsidP="00A11F01">
            <w:pPr>
              <w:spacing w:line="177" w:lineRule="exact"/>
              <w:ind w:left="60"/>
              <w:rPr>
                <w:rFonts w:ascii="Arial" w:eastAsia="Arial" w:hAnsi="Arial"/>
                <w:b/>
                <w:sz w:val="16"/>
              </w:rPr>
            </w:pPr>
            <w:r>
              <w:rPr>
                <w:rFonts w:ascii="Arial" w:eastAsia="Arial" w:hAnsi="Arial"/>
                <w:b/>
                <w:sz w:val="16"/>
              </w:rPr>
              <w:t>Localizzazione intervento</w:t>
            </w:r>
          </w:p>
        </w:tc>
        <w:tc>
          <w:tcPr>
            <w:tcW w:w="6240" w:type="dxa"/>
            <w:tcBorders>
              <w:right w:val="single" w:sz="8" w:space="0" w:color="auto"/>
            </w:tcBorders>
            <w:shd w:val="clear" w:color="auto" w:fill="auto"/>
            <w:vAlign w:val="bottom"/>
          </w:tcPr>
          <w:p w:rsidR="00BF488D" w:rsidRPr="00AB4E7D" w:rsidRDefault="00721A85" w:rsidP="00A11F01">
            <w:pPr>
              <w:spacing w:line="176" w:lineRule="exact"/>
              <w:ind w:left="60"/>
              <w:rPr>
                <w:rFonts w:ascii="Arial" w:eastAsia="Arial" w:hAnsi="Arial"/>
                <w:b/>
                <w:sz w:val="16"/>
              </w:rPr>
            </w:pPr>
            <w:r>
              <w:rPr>
                <w:b/>
                <w:i/>
                <w:iCs/>
              </w:rPr>
              <w:t>TUTTI I COMUNI</w:t>
            </w:r>
          </w:p>
        </w:tc>
      </w:tr>
      <w:tr w:rsidR="00BF488D" w:rsidTr="00FC7949">
        <w:trPr>
          <w:trHeight w:val="214"/>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
        </w:tc>
      </w:tr>
      <w:tr w:rsidR="00BF488D" w:rsidTr="00FC7949">
        <w:trPr>
          <w:trHeight w:val="218"/>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
        </w:tc>
      </w:tr>
      <w:tr w:rsidR="00BF488D" w:rsidTr="00FC7949">
        <w:trPr>
          <w:trHeight w:val="211"/>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
        </w:tc>
      </w:tr>
      <w:tr w:rsidR="00BF488D" w:rsidTr="00FC7949">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r>
      <w:tr w:rsidR="00AB4E7D" w:rsidTr="00FC7949">
        <w:trPr>
          <w:trHeight w:val="211"/>
        </w:trPr>
        <w:tc>
          <w:tcPr>
            <w:tcW w:w="580" w:type="dxa"/>
            <w:tcBorders>
              <w:left w:val="single" w:sz="8" w:space="0" w:color="auto"/>
              <w:right w:val="single" w:sz="8" w:space="0" w:color="auto"/>
            </w:tcBorders>
            <w:shd w:val="clear" w:color="auto" w:fill="auto"/>
          </w:tcPr>
          <w:p w:rsidR="00AB4E7D" w:rsidRDefault="00B52D12" w:rsidP="000E7744">
            <w:pPr>
              <w:spacing w:line="179" w:lineRule="exact"/>
              <w:ind w:right="340"/>
              <w:jc w:val="center"/>
              <w:rPr>
                <w:rFonts w:ascii="Arial" w:eastAsia="Arial" w:hAnsi="Arial"/>
                <w:b/>
                <w:sz w:val="16"/>
              </w:rPr>
            </w:pPr>
            <w:r>
              <w:rPr>
                <w:rFonts w:ascii="Arial" w:eastAsia="Arial" w:hAnsi="Arial"/>
                <w:b/>
                <w:sz w:val="16"/>
              </w:rPr>
              <w:t xml:space="preserve"> 6</w:t>
            </w:r>
          </w:p>
        </w:tc>
        <w:tc>
          <w:tcPr>
            <w:tcW w:w="2840" w:type="dxa"/>
            <w:tcBorders>
              <w:right w:val="single" w:sz="8" w:space="0" w:color="auto"/>
            </w:tcBorders>
            <w:shd w:val="clear" w:color="auto" w:fill="auto"/>
          </w:tcPr>
          <w:p w:rsidR="00AB4E7D" w:rsidRDefault="00AB4E7D" w:rsidP="00AB4E7D">
            <w:pPr>
              <w:spacing w:line="179" w:lineRule="exact"/>
              <w:ind w:left="60"/>
              <w:rPr>
                <w:rFonts w:ascii="Arial" w:eastAsia="Arial" w:hAnsi="Arial"/>
                <w:b/>
                <w:sz w:val="16"/>
              </w:rPr>
            </w:pPr>
            <w:r>
              <w:rPr>
                <w:rFonts w:ascii="Arial" w:eastAsia="Arial" w:hAnsi="Arial"/>
                <w:b/>
                <w:sz w:val="16"/>
              </w:rPr>
              <w:t>Coerenza programmatica e contestualizzazione dell'intervento</w:t>
            </w:r>
          </w:p>
        </w:tc>
        <w:tc>
          <w:tcPr>
            <w:tcW w:w="6240" w:type="dxa"/>
            <w:tcBorders>
              <w:right w:val="single" w:sz="8" w:space="0" w:color="auto"/>
            </w:tcBorders>
            <w:shd w:val="clear" w:color="auto" w:fill="auto"/>
            <w:vAlign w:val="bottom"/>
          </w:tcPr>
          <w:p w:rsidR="00B873D2" w:rsidRDefault="00B873D2" w:rsidP="004B09DF">
            <w:pPr>
              <w:ind w:right="-82"/>
              <w:rPr>
                <w:b/>
              </w:rPr>
            </w:pPr>
            <w:r>
              <w:rPr>
                <w:b/>
              </w:rPr>
              <w:t>Coerenza programmatica</w:t>
            </w:r>
          </w:p>
          <w:p w:rsidR="00AA48E5" w:rsidRDefault="00AA48E5" w:rsidP="00AA48E5">
            <w:pPr>
              <w:jc w:val="both"/>
            </w:pPr>
            <w:r>
              <w:t>Per fornire una risposta efficace a quanto emerso durante le fasi di ascolto</w:t>
            </w:r>
            <w:r w:rsidR="00D80EEA">
              <w:t xml:space="preserve"> </w:t>
            </w:r>
            <w:r w:rsidR="00D80EEA" w:rsidRPr="00FC7949">
              <w:t>dell’Area</w:t>
            </w:r>
            <w:r w:rsidRPr="00FC7949">
              <w:t>,</w:t>
            </w:r>
            <w:r>
              <w:t xml:space="preserve"> ovvero per far fronte alla necessità e volontà da parte dei Sindaci di offrire un servizio di mobilità mediante l’uso di appositi ausili per soggetti con ridotta e/o nulla capacità motoria localizzati e residenti nei borghi e centri storici della </w:t>
            </w:r>
            <w:proofErr w:type="spellStart"/>
            <w:r>
              <w:t>Valnerina</w:t>
            </w:r>
            <w:proofErr w:type="spellEnd"/>
            <w:r>
              <w:t>, dove il grado di accessibilità e mobilità è molto scarso e gli spostamenti sono particolarmente difficoltosi, in ragione delle condizioni morfologiche degli stessi, si prevede, in coerenza con la strategia, l’intervento per la dotazione di Ausili elettrici per la mobilità delle persone residenti che presentano le sopra richiamate difficoltà e che possano risultare idonei a superare le barriere insite all’interno dei borghi e nuclei storici dell’Area.</w:t>
            </w:r>
          </w:p>
          <w:p w:rsidR="00AA48E5" w:rsidRDefault="00AA48E5" w:rsidP="00871276">
            <w:pPr>
              <w:jc w:val="both"/>
            </w:pPr>
          </w:p>
          <w:p w:rsidR="00D11E4C" w:rsidRPr="00D11E4C" w:rsidRDefault="00D11E4C" w:rsidP="00871276">
            <w:pPr>
              <w:jc w:val="both"/>
              <w:rPr>
                <w:b/>
              </w:rPr>
            </w:pPr>
            <w:r w:rsidRPr="00D11E4C">
              <w:rPr>
                <w:b/>
              </w:rPr>
              <w:t>Contestualizzazione</w:t>
            </w:r>
          </w:p>
          <w:p w:rsidR="00AA48E5" w:rsidRDefault="00AA48E5" w:rsidP="00AA48E5">
            <w:pPr>
              <w:jc w:val="both"/>
            </w:pPr>
            <w:r>
              <w:t>L’insieme dei piccoli centri storici, pedemontani, collinari, alto collinari e montani dell’Area sono accomunati dalla ricorrenza di una morfologia dell’insediamento caratterizzata da forti pendenze, che rendono difficili gli spostamenti pedonali anche per brevi tratti, soprattutto nei vicoli, slarghi, piazze e percorsi connettivi tra le residenze e gli spazi di relazione o servizi di prossimità presenti nei borghi o per i servizi che potenzialmente si potrebbero insediare.</w:t>
            </w:r>
          </w:p>
          <w:p w:rsidR="00AB4E7D" w:rsidRDefault="00AA48E5" w:rsidP="00CF0362">
            <w:pPr>
              <w:jc w:val="both"/>
              <w:rPr>
                <w:rFonts w:ascii="Arial" w:eastAsia="Arial" w:hAnsi="Arial"/>
                <w:b/>
                <w:sz w:val="16"/>
              </w:rPr>
            </w:pPr>
            <w:r>
              <w:t>A fronte di tale criticità</w:t>
            </w:r>
            <w:r w:rsidR="00756818">
              <w:t>,</w:t>
            </w:r>
            <w:r>
              <w:t xml:space="preserve"> l’intervento si connette al servizio del Taxi sociale prevedendo la dotazione di alcuni ausili in grado di offrire occasioni di mobilità ai soggetti sopra richiamati. </w:t>
            </w:r>
          </w:p>
        </w:tc>
      </w:tr>
      <w:tr w:rsidR="00AB4E7D" w:rsidTr="00FC7949">
        <w:trPr>
          <w:trHeight w:val="212"/>
        </w:trPr>
        <w:tc>
          <w:tcPr>
            <w:tcW w:w="580" w:type="dxa"/>
            <w:tcBorders>
              <w:left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AB4E7D" w:rsidRDefault="00AB4E7D" w:rsidP="00A11F01">
            <w:pPr>
              <w:spacing w:line="0" w:lineRule="atLeast"/>
              <w:ind w:left="60"/>
              <w:rPr>
                <w:rFonts w:ascii="Arial" w:eastAsia="Arial" w:hAnsi="Arial"/>
                <w:b/>
                <w:sz w:val="16"/>
              </w:rPr>
            </w:pPr>
          </w:p>
        </w:tc>
      </w:tr>
      <w:tr w:rsidR="00AB4E7D" w:rsidTr="00FC7949">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c>
          <w:tcPr>
            <w:tcW w:w="2840" w:type="dxa"/>
            <w:tcBorders>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c>
          <w:tcPr>
            <w:tcW w:w="6240" w:type="dxa"/>
            <w:tcBorders>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r>
      <w:tr w:rsidR="00BF488D" w:rsidTr="00FC7949">
        <w:trPr>
          <w:trHeight w:val="200"/>
        </w:trPr>
        <w:tc>
          <w:tcPr>
            <w:tcW w:w="580" w:type="dxa"/>
            <w:tcBorders>
              <w:top w:val="single" w:sz="8" w:space="0" w:color="auto"/>
              <w:left w:val="single" w:sz="8" w:space="0" w:color="auto"/>
              <w:right w:val="single" w:sz="8" w:space="0" w:color="auto"/>
            </w:tcBorders>
            <w:shd w:val="clear" w:color="auto" w:fill="auto"/>
          </w:tcPr>
          <w:p w:rsidR="00BF488D" w:rsidRDefault="00B52D12" w:rsidP="00AB4E7D">
            <w:pPr>
              <w:spacing w:line="0" w:lineRule="atLeast"/>
              <w:ind w:left="80"/>
              <w:jc w:val="center"/>
              <w:rPr>
                <w:rFonts w:ascii="Arial" w:eastAsia="Arial" w:hAnsi="Arial"/>
                <w:b/>
                <w:sz w:val="16"/>
              </w:rPr>
            </w:pPr>
            <w:bookmarkStart w:id="1" w:name="page3"/>
            <w:bookmarkEnd w:id="1"/>
            <w:r>
              <w:rPr>
                <w:rFonts w:ascii="Arial" w:eastAsia="Arial" w:hAnsi="Arial"/>
                <w:b/>
                <w:sz w:val="16"/>
              </w:rPr>
              <w:t>7</w:t>
            </w:r>
          </w:p>
        </w:tc>
        <w:tc>
          <w:tcPr>
            <w:tcW w:w="2840" w:type="dxa"/>
            <w:tcBorders>
              <w:top w:val="single" w:sz="8" w:space="0" w:color="auto"/>
              <w:right w:val="single" w:sz="8" w:space="0" w:color="auto"/>
            </w:tcBorders>
            <w:shd w:val="clear" w:color="auto" w:fill="auto"/>
          </w:tcPr>
          <w:p w:rsidR="00BF488D" w:rsidRDefault="00BF488D" w:rsidP="00AB4E7D">
            <w:pPr>
              <w:spacing w:line="0" w:lineRule="atLeast"/>
              <w:ind w:left="60"/>
              <w:rPr>
                <w:rFonts w:ascii="Arial" w:eastAsia="Arial" w:hAnsi="Arial"/>
                <w:b/>
                <w:sz w:val="16"/>
              </w:rPr>
            </w:pPr>
            <w:r>
              <w:rPr>
                <w:rFonts w:ascii="Arial" w:eastAsia="Arial" w:hAnsi="Arial"/>
                <w:b/>
                <w:sz w:val="16"/>
              </w:rPr>
              <w:t>Descrizione dell'intervento (sintesi</w:t>
            </w:r>
            <w:r w:rsidR="00AB4E7D">
              <w:rPr>
                <w:rFonts w:ascii="Arial" w:eastAsia="Arial" w:hAnsi="Arial"/>
                <w:b/>
                <w:sz w:val="16"/>
              </w:rPr>
              <w:t xml:space="preserve"> della relazione tecnica) </w:t>
            </w:r>
          </w:p>
        </w:tc>
        <w:tc>
          <w:tcPr>
            <w:tcW w:w="6240" w:type="dxa"/>
            <w:tcBorders>
              <w:top w:val="single" w:sz="8" w:space="0" w:color="auto"/>
              <w:right w:val="single" w:sz="8" w:space="0" w:color="auto"/>
            </w:tcBorders>
            <w:shd w:val="clear" w:color="auto" w:fill="auto"/>
            <w:vAlign w:val="bottom"/>
          </w:tcPr>
          <w:p w:rsidR="005A20DE" w:rsidRPr="00FC7949" w:rsidRDefault="002C7DF3" w:rsidP="005A20DE">
            <w:pPr>
              <w:jc w:val="both"/>
            </w:pPr>
            <w:r w:rsidRPr="00FC7949">
              <w:t>S</w:t>
            </w:r>
            <w:r w:rsidR="005A20DE" w:rsidRPr="00FC7949">
              <w:t xml:space="preserve">i intende rivolgere il servizio </w:t>
            </w:r>
            <w:r w:rsidRPr="00FC7949">
              <w:t xml:space="preserve">relativo agli ausili per la mobilità </w:t>
            </w:r>
            <w:r w:rsidR="005A20DE" w:rsidRPr="00FC7949">
              <w:t>alle seguenti categorie di soggetti:</w:t>
            </w:r>
          </w:p>
          <w:p w:rsidR="005A20DE" w:rsidRPr="00FC7949" w:rsidRDefault="005A20DE" w:rsidP="005A20DE">
            <w:pPr>
              <w:numPr>
                <w:ilvl w:val="0"/>
                <w:numId w:val="6"/>
              </w:numPr>
              <w:ind w:left="266" w:hanging="266"/>
              <w:contextualSpacing/>
              <w:jc w:val="both"/>
            </w:pPr>
            <w:r w:rsidRPr="00FC7949">
              <w:t>anziani che non possano, per ragioni documentate, usufruire dei mezzi pubblici, né dispongano di forme di assistenza familiare o professionale;</w:t>
            </w:r>
          </w:p>
          <w:p w:rsidR="005A20DE" w:rsidRPr="00FC7949" w:rsidRDefault="005A20DE" w:rsidP="005A20DE">
            <w:pPr>
              <w:numPr>
                <w:ilvl w:val="0"/>
                <w:numId w:val="6"/>
              </w:numPr>
              <w:ind w:left="266" w:hanging="266"/>
              <w:contextualSpacing/>
              <w:jc w:val="both"/>
            </w:pPr>
            <w:r w:rsidRPr="00FC7949">
              <w:t>adulti che possano dimostrare di trovarsi in condizioni fisiche  tali da non permettere o da rendere gravemente difficoltosa la guida di un autoveicolo o il ricorso ai mezzi pubblici, né dispongano di forme di assistenza familiare o professionale</w:t>
            </w:r>
            <w:r w:rsidR="00ED5C90" w:rsidRPr="00FC7949">
              <w:t>.</w:t>
            </w:r>
          </w:p>
          <w:p w:rsidR="005A20DE" w:rsidRPr="00FC7949" w:rsidRDefault="002C7DF3" w:rsidP="00CF0362">
            <w:pPr>
              <w:jc w:val="both"/>
            </w:pPr>
            <w:r w:rsidRPr="00FC7949">
              <w:t xml:space="preserve">Deve trattarsi, in entrambi i casi, di soggetti che, seppur affetti da difficoltà deambulatorie, siano dotati di capacità fisica e mentale per condurre veicoli elettrici. </w:t>
            </w:r>
          </w:p>
          <w:p w:rsidR="005A20DE" w:rsidRPr="00FC7949" w:rsidRDefault="00ED5C90" w:rsidP="00CF0362">
            <w:pPr>
              <w:jc w:val="both"/>
            </w:pPr>
            <w:r w:rsidRPr="00FC7949">
              <w:t>Coloro che intendano accedere al servizio in questione devono presentare domanda ai competenti Servizi sociali del Comune di residenza; questi ultimi valutano le richieste pervenute al fine di accertare l’esistenza, in capo ai richiedenti, dei requisiti necessari per beneficiare del servizio.</w:t>
            </w:r>
          </w:p>
          <w:p w:rsidR="00CF0362" w:rsidRPr="00FC7949" w:rsidRDefault="00CF0362" w:rsidP="00CF0362">
            <w:pPr>
              <w:jc w:val="both"/>
            </w:pPr>
            <w:r w:rsidRPr="00FC7949">
              <w:t xml:space="preserve">L’intervento prevede che gli utenti del servizio, che si intende erogare, potranno prenotare gli ausili tramite chiamata al soggetto gestore del servizio stesso, il quale trasporterà il mezzo presso il domicilio del richiedente e lo metterà a disposizione dell’utente medesimo che ne abbia </w:t>
            </w:r>
            <w:r w:rsidRPr="00FC7949">
              <w:lastRenderedPageBreak/>
              <w:t xml:space="preserve">fatto richiesta. </w:t>
            </w:r>
          </w:p>
          <w:p w:rsidR="00CF0362" w:rsidRPr="00FC7949" w:rsidRDefault="00CF0362" w:rsidP="00CF0362">
            <w:pPr>
              <w:jc w:val="both"/>
            </w:pPr>
          </w:p>
          <w:p w:rsidR="00CA6CDE" w:rsidRPr="00FC7949" w:rsidRDefault="00CF0362" w:rsidP="00CF0362">
            <w:pPr>
              <w:jc w:val="both"/>
              <w:rPr>
                <w:strike/>
              </w:rPr>
            </w:pPr>
            <w:r w:rsidRPr="00FC7949">
              <w:t>La gestione del servizio sarà a carico del o dei soggetti individuati per l’erogazione del servizio di Taxi sociale (</w:t>
            </w:r>
            <w:r w:rsidR="00B52D12" w:rsidRPr="00FC7949">
              <w:t>organizzazioni di volontariato e le associazioni di promozione sociale</w:t>
            </w:r>
            <w:r w:rsidRPr="00FC7949">
              <w:t xml:space="preserve">) e sarà anch’esso sottoposto ad un contributo finalizzato alla definizione di un fondo per rimborso spese da utilizzare per opere di manutenzione ordinaria dei mezzi, consumo carburante e spese amministrative e assicurative. </w:t>
            </w:r>
          </w:p>
          <w:p w:rsidR="00CA6CDE" w:rsidRPr="00FC7949" w:rsidRDefault="00CA6CDE" w:rsidP="00CF0362">
            <w:pPr>
              <w:jc w:val="both"/>
            </w:pPr>
          </w:p>
          <w:p w:rsidR="003B552C" w:rsidRPr="00FC7949" w:rsidRDefault="003B552C" w:rsidP="00CF0362">
            <w:pPr>
              <w:jc w:val="both"/>
            </w:pPr>
            <w:r w:rsidRPr="00FC7949">
              <w:t xml:space="preserve">Nello specifico, e in consonanza con quanto stabilito nella scheda MO.03 in tema di Trasporto sociale, il servizio legato alla messa a disposizione degli ausili per la mobilità sarà </w:t>
            </w:r>
            <w:r w:rsidR="005C7000" w:rsidRPr="00FC7949">
              <w:t>oggetto della stessa convenzione stipulata per attivare il servizio di Taxi sociale. Come precisato nella scheda MO.03, un Comune, agendo in nome e per conto degli altri Comuni dell’Area in virtù del mandato conferitogli nell’apposito Protocollo d’intesa, sottoscrive tale convenzione con uno o più enti del terzo settore.</w:t>
            </w:r>
          </w:p>
          <w:p w:rsidR="005C7000" w:rsidRPr="00FC7949" w:rsidRDefault="005C7000" w:rsidP="00CF0362">
            <w:pPr>
              <w:jc w:val="both"/>
            </w:pPr>
          </w:p>
          <w:p w:rsidR="005C7000" w:rsidRPr="00FC7949" w:rsidRDefault="005C7000" w:rsidP="005C7000">
            <w:pPr>
              <w:jc w:val="both"/>
            </w:pPr>
            <w:r w:rsidRPr="00FC7949">
              <w:t xml:space="preserve">Secondo quanto stabilito nella normativa di riferimento (art. 56, D. </w:t>
            </w:r>
            <w:proofErr w:type="spellStart"/>
            <w:r w:rsidRPr="00FC7949">
              <w:t>Lgs</w:t>
            </w:r>
            <w:proofErr w:type="spellEnd"/>
            <w:r w:rsidRPr="00FC7949">
              <w:t>. 3 luglio 2017, n. 117 Codice del Terzo settore), tale convenzione viene stipulata con le organizzazioni di volontariato e le associazioni di promozione sociale, iscritte da almeno sei mesi nel Registro unico nazionale del Terzo settore, ed è finalizzata allo svolgimento in favore di terzi di attività o servizi sociali di interesse generale, se più favorevoli rispetto al ricorso al mercato.</w:t>
            </w:r>
          </w:p>
          <w:p w:rsidR="005C7000" w:rsidRPr="00FC7949" w:rsidRDefault="005C7000" w:rsidP="005C7000">
            <w:pPr>
              <w:jc w:val="both"/>
            </w:pPr>
          </w:p>
          <w:p w:rsidR="005C7000" w:rsidRPr="00FC7949" w:rsidRDefault="005C7000" w:rsidP="005C7000">
            <w:pPr>
              <w:jc w:val="both"/>
            </w:pPr>
            <w:r w:rsidRPr="00FC7949">
              <w:t>L’individuazione delle organizzazioni di volontariato e delle associazioni di promozione sociale con cui stipulare la convenzione è fatta nel rispetto dei principi di imparzialità, pubblicità, trasparenza, partecipazione e parità di trattamento, mediante procedure comparative riservate alle medesime.</w:t>
            </w:r>
          </w:p>
          <w:p w:rsidR="005C7000" w:rsidRPr="00FC7949" w:rsidRDefault="005C7000" w:rsidP="005C7000">
            <w:pPr>
              <w:jc w:val="both"/>
            </w:pPr>
            <w:r w:rsidRPr="00FC7949">
              <w:t xml:space="preserve">La stipula della convenzione sarà quindi preceduta dalla pubblicazione di un apposito avviso volto a raccogliere le manifestazioni d’interesse delle organizzazioni in esame, le quali devono essere in possesso dei requisiti di moralità professionale, e dimostrare adeguata attitudine, da valutarsi in riferimento alla struttura, all’attività concretamente svolta, alle finalità perseguite, al numero degli aderenti, alle risorse a disposizione e alla capacità tecnica e professionale, intesa come concreta capacità di operare e realizzare l’attività oggetto di convenzione, da valutarsi anche con riferimento all’esperienza maturata, all’organizzazione, alla formazione e all’aggiornamento dei volontari (art. 56, comma 3, D. </w:t>
            </w:r>
            <w:proofErr w:type="spellStart"/>
            <w:r w:rsidRPr="00FC7949">
              <w:t>Lgs</w:t>
            </w:r>
            <w:proofErr w:type="spellEnd"/>
            <w:r w:rsidRPr="00FC7949">
              <w:t>, n. 117/2017).</w:t>
            </w:r>
          </w:p>
          <w:p w:rsidR="005C7000" w:rsidRPr="00FC7949" w:rsidRDefault="005C7000" w:rsidP="005C7000">
            <w:pPr>
              <w:jc w:val="both"/>
            </w:pPr>
          </w:p>
          <w:p w:rsidR="005C7000" w:rsidRPr="00FC7949" w:rsidRDefault="005C7000" w:rsidP="005C7000">
            <w:pPr>
              <w:jc w:val="both"/>
            </w:pPr>
            <w:r w:rsidRPr="00FC7949">
              <w:t>La suddetta convenzione può prevedere esclusivamente il rimborso alle organizzazioni di volontariato e alle associazioni di promozione sociale delle</w:t>
            </w:r>
          </w:p>
          <w:p w:rsidR="005C7000" w:rsidRPr="00FC7949" w:rsidRDefault="005C7000" w:rsidP="005C7000">
            <w:pPr>
              <w:jc w:val="both"/>
            </w:pPr>
            <w:r w:rsidRPr="00FC7949">
              <w:t xml:space="preserve">spese effettivamente sostenute e documentate. Va inoltre precisato che, laddove le organizzazioni che erogano il servizio si avvalgano dell’apporto di volontari, le attività svolte da questi ultimi non possono essere retribuite in alcun modo, neanche dai beneficiari del </w:t>
            </w:r>
            <w:r w:rsidR="00BF19E1" w:rsidRPr="00FC7949">
              <w:t>servizio</w:t>
            </w:r>
            <w:r w:rsidRPr="00FC7949">
              <w:t xml:space="preserve"> (art. 56, comma 2 e art. 17, comma 3, D. </w:t>
            </w:r>
            <w:proofErr w:type="spellStart"/>
            <w:r w:rsidRPr="00FC7949">
              <w:t>Lgs</w:t>
            </w:r>
            <w:proofErr w:type="spellEnd"/>
            <w:r w:rsidRPr="00FC7949">
              <w:t>. n. 117/2017).</w:t>
            </w:r>
          </w:p>
          <w:p w:rsidR="005C7000" w:rsidRPr="005C7000" w:rsidRDefault="005C7000" w:rsidP="005C7000">
            <w:pPr>
              <w:jc w:val="both"/>
              <w:rPr>
                <w:highlight w:val="yellow"/>
              </w:rPr>
            </w:pPr>
          </w:p>
          <w:p w:rsidR="005C7000" w:rsidRPr="00FC7949" w:rsidRDefault="005C7000" w:rsidP="005C7000">
            <w:pPr>
              <w:jc w:val="both"/>
            </w:pPr>
            <w:r w:rsidRPr="00FC7949">
              <w:t>La convenzione da stipulare deve contenere disposizioni dirette a garantire l’esistenza delle condizioni necessarie a svolgere con continuità le attività oggetto della convenzione, nonché il rispetto dei diritti e della dignità degli</w:t>
            </w:r>
          </w:p>
          <w:p w:rsidR="005C7000" w:rsidRPr="00FC7949" w:rsidRDefault="005C7000" w:rsidP="005C7000">
            <w:pPr>
              <w:jc w:val="both"/>
            </w:pPr>
            <w:r w:rsidRPr="00FC7949">
              <w:t xml:space="preserve">utenti, e, ove previsti dalla normativa nazionale o regionale, degli </w:t>
            </w:r>
            <w:r w:rsidRPr="00FC7949">
              <w:rPr>
                <w:i/>
                <w:iCs/>
              </w:rPr>
              <w:t xml:space="preserve">standard </w:t>
            </w:r>
            <w:r w:rsidRPr="00FC7949">
              <w:t xml:space="preserve">organizzativi e strutturali di legge. </w:t>
            </w:r>
          </w:p>
          <w:p w:rsidR="005C7000" w:rsidRPr="00FC7949" w:rsidRDefault="005C7000" w:rsidP="005C7000">
            <w:pPr>
              <w:jc w:val="both"/>
            </w:pPr>
            <w:r w:rsidRPr="00FC7949">
              <w:t>Tale atto deve inoltre fissare:</w:t>
            </w:r>
          </w:p>
          <w:p w:rsidR="005C7000" w:rsidRPr="00FC7949" w:rsidRDefault="005C7000" w:rsidP="005C7000">
            <w:pPr>
              <w:numPr>
                <w:ilvl w:val="0"/>
                <w:numId w:val="5"/>
              </w:numPr>
              <w:ind w:left="408" w:hanging="284"/>
              <w:contextualSpacing/>
              <w:jc w:val="both"/>
            </w:pPr>
            <w:r w:rsidRPr="00FC7949">
              <w:t>la durata del rapporto convenzionale;</w:t>
            </w:r>
          </w:p>
          <w:p w:rsidR="005C7000" w:rsidRPr="00FC7949" w:rsidRDefault="005C7000" w:rsidP="005C7000">
            <w:pPr>
              <w:numPr>
                <w:ilvl w:val="0"/>
                <w:numId w:val="5"/>
              </w:numPr>
              <w:ind w:left="408" w:hanging="284"/>
              <w:contextualSpacing/>
              <w:jc w:val="both"/>
            </w:pPr>
            <w:r w:rsidRPr="00FC7949">
              <w:t xml:space="preserve">il contenuto e le modalità dell’intervento volontario; </w:t>
            </w:r>
          </w:p>
          <w:p w:rsidR="005C7000" w:rsidRPr="00FC7949" w:rsidRDefault="005C7000" w:rsidP="005C7000">
            <w:pPr>
              <w:numPr>
                <w:ilvl w:val="0"/>
                <w:numId w:val="5"/>
              </w:numPr>
              <w:ind w:left="408" w:hanging="284"/>
              <w:contextualSpacing/>
              <w:jc w:val="both"/>
            </w:pPr>
            <w:r w:rsidRPr="00FC7949">
              <w:t xml:space="preserve">il numero e l’eventuale qualifica professionale delle persone impegnate nelle attività convenzionate; </w:t>
            </w:r>
          </w:p>
          <w:p w:rsidR="005C7000" w:rsidRPr="00FC7949" w:rsidRDefault="005C7000" w:rsidP="005C7000">
            <w:pPr>
              <w:numPr>
                <w:ilvl w:val="0"/>
                <w:numId w:val="5"/>
              </w:numPr>
              <w:ind w:left="408" w:hanging="284"/>
              <w:contextualSpacing/>
              <w:jc w:val="both"/>
            </w:pPr>
            <w:r w:rsidRPr="00FC7949">
              <w:lastRenderedPageBreak/>
              <w:t xml:space="preserve">le modalità di coordinamento dei volontari e dei lavoratori con gli operatori dei servizi pubblici; </w:t>
            </w:r>
          </w:p>
          <w:p w:rsidR="005C7000" w:rsidRPr="00FC7949" w:rsidRDefault="005C7000" w:rsidP="005C7000">
            <w:pPr>
              <w:numPr>
                <w:ilvl w:val="0"/>
                <w:numId w:val="5"/>
              </w:numPr>
              <w:ind w:left="408" w:hanging="284"/>
              <w:contextualSpacing/>
              <w:jc w:val="both"/>
            </w:pPr>
            <w:r w:rsidRPr="00FC7949">
              <w:t xml:space="preserve">le coperture assicurative che sono a carico dei Comuni in base all’art. 18, comma 3, D. </w:t>
            </w:r>
            <w:proofErr w:type="spellStart"/>
            <w:r w:rsidRPr="00FC7949">
              <w:t>Lgs</w:t>
            </w:r>
            <w:proofErr w:type="spellEnd"/>
            <w:r w:rsidRPr="00FC7949">
              <w:t xml:space="preserve"> n. 117/2017, </w:t>
            </w:r>
          </w:p>
          <w:p w:rsidR="005C7000" w:rsidRPr="00FC7949" w:rsidRDefault="005C7000" w:rsidP="005C7000">
            <w:pPr>
              <w:numPr>
                <w:ilvl w:val="0"/>
                <w:numId w:val="5"/>
              </w:numPr>
              <w:ind w:left="408" w:hanging="284"/>
              <w:contextualSpacing/>
              <w:jc w:val="both"/>
            </w:pPr>
            <w:r w:rsidRPr="00FC7949">
              <w:t xml:space="preserve">i rapporti finanziari riguardanti le spese da ammettere a rimborso fra le quali devono figurare necessariamente gli oneri relativi alla copertura assicurativa; </w:t>
            </w:r>
          </w:p>
          <w:p w:rsidR="005C7000" w:rsidRPr="00FC7949" w:rsidRDefault="005C7000" w:rsidP="005C7000">
            <w:pPr>
              <w:numPr>
                <w:ilvl w:val="0"/>
                <w:numId w:val="5"/>
              </w:numPr>
              <w:ind w:left="408" w:hanging="284"/>
              <w:contextualSpacing/>
              <w:jc w:val="both"/>
            </w:pPr>
            <w:r w:rsidRPr="00FC7949">
              <w:t xml:space="preserve">le modalità di risoluzione del rapporto; </w:t>
            </w:r>
          </w:p>
          <w:p w:rsidR="005C7000" w:rsidRPr="00FC7949" w:rsidRDefault="005C7000" w:rsidP="005C7000">
            <w:pPr>
              <w:numPr>
                <w:ilvl w:val="0"/>
                <w:numId w:val="5"/>
              </w:numPr>
              <w:ind w:left="408" w:hanging="284"/>
              <w:contextualSpacing/>
              <w:jc w:val="both"/>
            </w:pPr>
            <w:r w:rsidRPr="00FC7949">
              <w:t>forme di verifica delle prestazioni e di controllo della loro qualità;</w:t>
            </w:r>
          </w:p>
          <w:p w:rsidR="005C7000" w:rsidRPr="00FC7949" w:rsidRDefault="005C7000" w:rsidP="005C7000">
            <w:pPr>
              <w:numPr>
                <w:ilvl w:val="0"/>
                <w:numId w:val="5"/>
              </w:numPr>
              <w:ind w:left="408" w:hanging="284"/>
              <w:contextualSpacing/>
              <w:jc w:val="both"/>
            </w:pPr>
            <w:r w:rsidRPr="00FC7949">
              <w:t xml:space="preserve">la verifica dei reciproci adempimenti nonché le modalità di rimborso delle spese, nel rispetto del principio dell’effettività delle stesse, con esclusione di qualsiasi attribuzione a titolo di maggiorazione, accantonamento, ricarico o simili, e con la limitazione del rimborso dei costi indiretti alla quota parte imputabile direttamente all’attività oggetto della convenzione (art. 56, comma 4, D. </w:t>
            </w:r>
            <w:proofErr w:type="spellStart"/>
            <w:r w:rsidRPr="00FC7949">
              <w:t>Lgs</w:t>
            </w:r>
            <w:proofErr w:type="spellEnd"/>
            <w:r w:rsidRPr="00FC7949">
              <w:t>. n. 117/2017).</w:t>
            </w:r>
          </w:p>
          <w:p w:rsidR="003B552C" w:rsidRDefault="003B552C" w:rsidP="00CF0362">
            <w:pPr>
              <w:jc w:val="both"/>
            </w:pPr>
          </w:p>
          <w:p w:rsidR="00CF0362" w:rsidRDefault="00CF0362" w:rsidP="00CF0362">
            <w:pPr>
              <w:jc w:val="both"/>
            </w:pPr>
            <w:r>
              <w:t xml:space="preserve">Il servizio sarà erogato in tutti i comuni dell’area e con la redazione del </w:t>
            </w:r>
            <w:r w:rsidR="00CA6CDE">
              <w:t xml:space="preserve">piano della mobilità si definiranno </w:t>
            </w:r>
            <w:r>
              <w:t xml:space="preserve">nel dettaglio </w:t>
            </w:r>
            <w:r w:rsidR="00CA6CDE">
              <w:t>le a</w:t>
            </w:r>
            <w:r>
              <w:t>ree urbane storiche pedonali</w:t>
            </w:r>
            <w:r w:rsidR="00CA6CDE">
              <w:t xml:space="preserve"> </w:t>
            </w:r>
            <w:r>
              <w:t>(marciapiedi o isole pedonali) dove si</w:t>
            </w:r>
            <w:r w:rsidR="00CA6CDE">
              <w:t xml:space="preserve"> potranno erogare tali servizi</w:t>
            </w:r>
            <w:r>
              <w:t xml:space="preserve"> in</w:t>
            </w:r>
            <w:r w:rsidR="00CA6CDE">
              <w:t xml:space="preserve"> </w:t>
            </w:r>
            <w:r>
              <w:t>coerenza con quanto stabilito dal Codice della Strada vigente per la</w:t>
            </w:r>
            <w:r w:rsidR="00BF19E1">
              <w:t xml:space="preserve"> </w:t>
            </w:r>
            <w:r>
              <w:t xml:space="preserve">circolazione di </w:t>
            </w:r>
            <w:r w:rsidR="00CA6CDE">
              <w:t>detti</w:t>
            </w:r>
            <w:r>
              <w:t xml:space="preserve"> mezzi</w:t>
            </w:r>
            <w:r w:rsidR="00CA6CDE">
              <w:t>,</w:t>
            </w:r>
            <w:r>
              <w:t xml:space="preserve"> anche in considerazione del fatto che </w:t>
            </w:r>
            <w:r w:rsidR="00D80EEA">
              <w:t xml:space="preserve"> </w:t>
            </w:r>
            <w:r>
              <w:t xml:space="preserve">si intende attivare </w:t>
            </w:r>
            <w:r w:rsidR="00D80EEA">
              <w:t xml:space="preserve">il servizio </w:t>
            </w:r>
            <w:r>
              <w:t>in borghi storici</w:t>
            </w:r>
            <w:r w:rsidR="00CA6CDE">
              <w:t>,</w:t>
            </w:r>
            <w:r>
              <w:t xml:space="preserve"> dove</w:t>
            </w:r>
            <w:r w:rsidR="00CA6CDE">
              <w:t>,</w:t>
            </w:r>
            <w:r>
              <w:t xml:space="preserve"> per la morfologia</w:t>
            </w:r>
            <w:r w:rsidR="00D80EEA">
              <w:t xml:space="preserve"> </w:t>
            </w:r>
            <w:r>
              <w:t>urbana esistente</w:t>
            </w:r>
            <w:r w:rsidR="00D80EEA">
              <w:t>,</w:t>
            </w:r>
            <w:r>
              <w:t xml:space="preserve"> risulta già interdetto il traffico carrabile.</w:t>
            </w:r>
          </w:p>
          <w:p w:rsidR="00CA6CDE" w:rsidRDefault="00CA6CDE" w:rsidP="00CF0362">
            <w:pPr>
              <w:jc w:val="both"/>
            </w:pPr>
          </w:p>
          <w:p w:rsidR="00CA6CDE" w:rsidRDefault="00CF0362" w:rsidP="00CF0362">
            <w:pPr>
              <w:jc w:val="both"/>
            </w:pPr>
            <w:r>
              <w:t>All’interno del piano si dovranno altresì evidenziare le caratteristiche</w:t>
            </w:r>
            <w:r w:rsidR="00BF19E1">
              <w:t xml:space="preserve"> </w:t>
            </w:r>
            <w:r>
              <w:t>di dettaglio delle aree urbane coinvolte</w:t>
            </w:r>
            <w:r w:rsidR="00CA6CDE">
              <w:t>,</w:t>
            </w:r>
            <w:r>
              <w:t xml:space="preserve"> al fine di dimostrare la</w:t>
            </w:r>
            <w:r w:rsidR="00BF19E1">
              <w:t xml:space="preserve"> </w:t>
            </w:r>
            <w:r>
              <w:t>coerenza di detti percorsi con il superamento delle barriere</w:t>
            </w:r>
            <w:r w:rsidR="00BF19E1">
              <w:t xml:space="preserve"> </w:t>
            </w:r>
            <w:r>
              <w:t>architettoniche ai sensi delle disposizioni legislative e normative</w:t>
            </w:r>
            <w:r w:rsidR="00BF19E1">
              <w:t xml:space="preserve"> </w:t>
            </w:r>
            <w:r>
              <w:t xml:space="preserve">esistenti. Il piano per dette porzioni urbane potrà anche </w:t>
            </w:r>
            <w:r w:rsidR="005A20DE">
              <w:t xml:space="preserve">essere preso in considerazione in vista della scrittura del </w:t>
            </w:r>
            <w:r>
              <w:t>Piano per l’eliminazione delle barriere</w:t>
            </w:r>
            <w:r w:rsidR="00BF19E1">
              <w:t xml:space="preserve"> </w:t>
            </w:r>
            <w:r>
              <w:t xml:space="preserve">architettoniche (PEBA). </w:t>
            </w:r>
          </w:p>
          <w:p w:rsidR="00CA6CDE" w:rsidRDefault="00CA6CDE" w:rsidP="00CF0362">
            <w:pPr>
              <w:jc w:val="both"/>
            </w:pPr>
          </w:p>
          <w:p w:rsidR="00CF0362" w:rsidRPr="00FC7949" w:rsidRDefault="00CF0362" w:rsidP="00CF0362">
            <w:pPr>
              <w:jc w:val="both"/>
            </w:pPr>
            <w:r>
              <w:t xml:space="preserve">Si prevede </w:t>
            </w:r>
            <w:r w:rsidR="00CA6CDE">
              <w:t xml:space="preserve">infine </w:t>
            </w:r>
            <w:r>
              <w:t>che la sostenibilità del servizio</w:t>
            </w:r>
            <w:r w:rsidR="00CA6CDE">
              <w:t>,</w:t>
            </w:r>
            <w:r>
              <w:t xml:space="preserve"> </w:t>
            </w:r>
            <w:r w:rsidR="00D80EEA">
              <w:t>nel periodo post sperimentazione</w:t>
            </w:r>
            <w:r w:rsidR="00CA6CDE">
              <w:t>,</w:t>
            </w:r>
            <w:r>
              <w:t xml:space="preserve"> </w:t>
            </w:r>
            <w:r w:rsidR="00D80EEA">
              <w:t xml:space="preserve">sarà </w:t>
            </w:r>
            <w:r w:rsidR="005A20DE">
              <w:t>garantita</w:t>
            </w:r>
            <w:r>
              <w:t xml:space="preserve"> dal fatto che la gestione dello stesso</w:t>
            </w:r>
            <w:r w:rsidR="00CA6CDE">
              <w:t xml:space="preserve"> </w:t>
            </w:r>
            <w:r>
              <w:t xml:space="preserve">sarà a carico di Associazioni senza fini di </w:t>
            </w:r>
            <w:r w:rsidRPr="00FC7949">
              <w:t>lucro</w:t>
            </w:r>
            <w:r w:rsidR="00D80EEA" w:rsidRPr="00FC7949">
              <w:t>,</w:t>
            </w:r>
            <w:r w:rsidRPr="00FC7949">
              <w:t xml:space="preserve"> </w:t>
            </w:r>
            <w:r w:rsidR="00D80EEA" w:rsidRPr="00FC7949">
              <w:t xml:space="preserve">con il rimborso delle spese da parte dei </w:t>
            </w:r>
            <w:r w:rsidRPr="00FC7949">
              <w:t>Comuni.</w:t>
            </w:r>
          </w:p>
          <w:p w:rsidR="00CA6CDE" w:rsidRPr="00FC7949" w:rsidRDefault="00CA6CDE" w:rsidP="00CF0362">
            <w:pPr>
              <w:jc w:val="both"/>
            </w:pPr>
          </w:p>
          <w:p w:rsidR="00CA6CDE" w:rsidRDefault="00CA6CDE" w:rsidP="00CA6CDE">
            <w:pPr>
              <w:jc w:val="both"/>
            </w:pPr>
            <w:r w:rsidRPr="00FC7949">
              <w:t>Gli ausili dovranno corrispondere alle rispettive dichiarazioni dalle</w:t>
            </w:r>
            <w:r w:rsidR="00BF19E1" w:rsidRPr="00FC7949">
              <w:t xml:space="preserve"> </w:t>
            </w:r>
            <w:r w:rsidRPr="00FC7949">
              <w:t>quali si possa evincere che il prodotto è costruito secondo le norme</w:t>
            </w:r>
            <w:r w:rsidR="00BF19E1" w:rsidRPr="00FC7949">
              <w:t xml:space="preserve"> </w:t>
            </w:r>
            <w:r w:rsidRPr="00FC7949">
              <w:t>comunitarie vigenti. Nello specifico, le dichiarazioni del costruttore</w:t>
            </w:r>
            <w:r w:rsidR="00BF19E1" w:rsidRPr="00FC7949">
              <w:t xml:space="preserve"> </w:t>
            </w:r>
            <w:r w:rsidRPr="00FC7949">
              <w:t>dovrebbero</w:t>
            </w:r>
            <w:r>
              <w:t xml:space="preserve"> attestare che il mezzo è stato concepito per persone con</w:t>
            </w:r>
            <w:r w:rsidR="00BF19E1">
              <w:t xml:space="preserve"> </w:t>
            </w:r>
            <w:r>
              <w:t>difficoltà di deambulazione e persone con incapacità di deambulazione</w:t>
            </w:r>
            <w:r w:rsidR="00BF19E1">
              <w:t xml:space="preserve"> </w:t>
            </w:r>
            <w:r>
              <w:t>che fisicamente e mentalmente sono in grado di guidare un veicolo</w:t>
            </w:r>
            <w:r w:rsidR="00BF19E1">
              <w:t xml:space="preserve"> </w:t>
            </w:r>
            <w:r>
              <w:t>elettrico, e che lo stesso è stato prodotto in conformità alle norme</w:t>
            </w:r>
            <w:r w:rsidR="00BF19E1">
              <w:t xml:space="preserve"> </w:t>
            </w:r>
            <w:r>
              <w:t xml:space="preserve">europee (es. EN 12 184). </w:t>
            </w:r>
          </w:p>
          <w:p w:rsidR="00787F64" w:rsidRDefault="00787F64" w:rsidP="00CA6CDE">
            <w:pPr>
              <w:jc w:val="both"/>
            </w:pPr>
          </w:p>
          <w:p w:rsidR="00787F64" w:rsidRPr="00FC7949" w:rsidRDefault="00787F64" w:rsidP="00CA6CDE">
            <w:pPr>
              <w:jc w:val="both"/>
            </w:pPr>
            <w:r w:rsidRPr="00FC7949">
              <w:t>Gli ausili acquistati dovranno essere iscritti nell’apposita banca dati relativa ai Dispositivi Medici prevista nella normativa di settore (Decreto 21 dicembre 2009, "Modifiche ed integrazioni al decreto 20 febbraio 2007 recante Nuove modalità per gli adempimenti previsti per la registrazione dei dispositivi impiantabili attivi nonché per l'iscrizione nel Repertorio dei dispositivi medici").</w:t>
            </w:r>
          </w:p>
          <w:p w:rsidR="00CA6CDE" w:rsidRPr="00FC7949" w:rsidRDefault="00CA6CDE" w:rsidP="00CA6CDE">
            <w:pPr>
              <w:jc w:val="both"/>
            </w:pPr>
          </w:p>
          <w:p w:rsidR="007723C7" w:rsidRPr="00FC7949" w:rsidRDefault="007723C7" w:rsidP="00CA6CDE">
            <w:pPr>
              <w:jc w:val="both"/>
            </w:pPr>
            <w:r w:rsidRPr="00FC7949">
              <w:t xml:space="preserve">Si fa presente che </w:t>
            </w:r>
            <w:r w:rsidR="00CA03FD" w:rsidRPr="00FC7949">
              <w:t>la precisa individuazione delle caratteristiche tecniche de</w:t>
            </w:r>
            <w:r w:rsidRPr="00FC7949">
              <w:t xml:space="preserve">gli </w:t>
            </w:r>
            <w:r w:rsidR="001D415D" w:rsidRPr="00FC7949">
              <w:t xml:space="preserve">ausili che si intendono acquistare </w:t>
            </w:r>
            <w:r w:rsidR="00CA03FD" w:rsidRPr="00FC7949">
              <w:t xml:space="preserve">avverrà mediante il </w:t>
            </w:r>
            <w:r w:rsidR="001D415D" w:rsidRPr="00FC7949">
              <w:t>nuovo “Nomenclatore” che costituisce l’Allegato 5 “Ausili su misura e ausili di serie (elenchi 1, 2A e 2B)” al DPCM  12 gennaio 2017 “Definizione e aggiornamento dei livelli essenziali di assistenza, di cui all'articolo 1, comma 7, del decreto legislativo 30 dicembre 1992, n. 502”. Si precisa</w:t>
            </w:r>
            <w:r w:rsidR="00CA03FD" w:rsidRPr="00FC7949">
              <w:t>,</w:t>
            </w:r>
            <w:r w:rsidR="001D415D" w:rsidRPr="00FC7949">
              <w:t xml:space="preserve"> tuttav</w:t>
            </w:r>
            <w:r w:rsidR="00CA03FD" w:rsidRPr="00FC7949">
              <w:t xml:space="preserve">ia, che gli ausili in questione, non essendo acquistati con risorse a carico del </w:t>
            </w:r>
            <w:r w:rsidR="00CA03FD" w:rsidRPr="00FC7949">
              <w:lastRenderedPageBreak/>
              <w:t>Servizio Sanitario Nazionale, non sono subordinati a prescrizione del medico curante, nell’ambito di un programma riabilitativo individuale, né quindi il loro acquisto è soggetto ad autorizzazione da parte dell’Azienda sanitaria locale di residenza</w:t>
            </w:r>
            <w:r w:rsidR="00E8105D" w:rsidRPr="00FC7949">
              <w:t xml:space="preserve"> degli interessati</w:t>
            </w:r>
            <w:r w:rsidR="00CA03FD" w:rsidRPr="00FC7949">
              <w:t xml:space="preserve">. </w:t>
            </w:r>
          </w:p>
          <w:p w:rsidR="007723C7" w:rsidRPr="00FC7949" w:rsidRDefault="007723C7" w:rsidP="00CA6CDE">
            <w:pPr>
              <w:jc w:val="both"/>
            </w:pPr>
          </w:p>
          <w:p w:rsidR="007723C7" w:rsidRPr="00FC7949" w:rsidRDefault="007723C7" w:rsidP="00CA6CDE">
            <w:pPr>
              <w:jc w:val="both"/>
            </w:pPr>
          </w:p>
          <w:p w:rsidR="00CA6CDE" w:rsidRPr="00FC7949" w:rsidRDefault="00CA6CDE" w:rsidP="00CA6CDE">
            <w:pPr>
              <w:jc w:val="both"/>
            </w:pPr>
            <w:r w:rsidRPr="00FC7949">
              <w:t>La dotazione di ausili si prevede che possa corrispondere a carrozzine</w:t>
            </w:r>
            <w:r w:rsidR="00BF19E1" w:rsidRPr="00FC7949">
              <w:t xml:space="preserve"> </w:t>
            </w:r>
            <w:r w:rsidRPr="00FC7949">
              <w:t>elettriche adatte alla mobilità all’esterno con 4 ruote motrici.</w:t>
            </w:r>
          </w:p>
          <w:p w:rsidR="00F22E89" w:rsidRPr="00FC7949" w:rsidRDefault="00F22E89" w:rsidP="00CA6CDE">
            <w:pPr>
              <w:jc w:val="both"/>
            </w:pPr>
          </w:p>
          <w:p w:rsidR="00F22E89" w:rsidRPr="00FC7949" w:rsidRDefault="00F22E89" w:rsidP="00CA6CDE">
            <w:pPr>
              <w:jc w:val="both"/>
            </w:pPr>
            <w:r w:rsidRPr="00FC7949">
              <w:t xml:space="preserve">I mezzi in questione saranno acquistati tramite procedura di appalto congiunto che prevede il ricorso alla centrale di committenza qualificata da parte del Comune rappresentante che, a tale scopo, agisce in nome e per conto di tutti i Comuni interessati (art. 37, comma 10, D. </w:t>
            </w:r>
            <w:proofErr w:type="spellStart"/>
            <w:r w:rsidRPr="00FC7949">
              <w:t>Lgs</w:t>
            </w:r>
            <w:proofErr w:type="spellEnd"/>
            <w:r w:rsidRPr="00FC7949">
              <w:t>. n. 50/2016).</w:t>
            </w:r>
          </w:p>
          <w:p w:rsidR="00CA6CDE" w:rsidRPr="00FC7949" w:rsidRDefault="00CA6CDE" w:rsidP="00CA6CDE">
            <w:pPr>
              <w:jc w:val="both"/>
            </w:pPr>
          </w:p>
          <w:p w:rsidR="00CA6CDE" w:rsidRPr="00FC7949" w:rsidRDefault="00CA6CDE" w:rsidP="00CA6CDE">
            <w:pPr>
              <w:jc w:val="both"/>
            </w:pPr>
            <w:r w:rsidRPr="00FC7949">
              <w:t xml:space="preserve">Acquisto di mezzi Euro </w:t>
            </w:r>
            <w:r w:rsidR="0060378B" w:rsidRPr="00FC7949">
              <w:t>4</w:t>
            </w:r>
            <w:r w:rsidR="00E40C18" w:rsidRPr="00FC7949">
              <w:t>.000,</w:t>
            </w:r>
            <w:r w:rsidR="00F15E51" w:rsidRPr="00FC7949">
              <w:t xml:space="preserve">00 </w:t>
            </w:r>
            <w:r w:rsidRPr="00FC7949">
              <w:t>per ciascun mezzo.</w:t>
            </w:r>
          </w:p>
          <w:p w:rsidR="00515AD2" w:rsidRPr="00FC7949" w:rsidRDefault="00CA6CDE" w:rsidP="00CA6CDE">
            <w:pPr>
              <w:jc w:val="both"/>
            </w:pPr>
            <w:r w:rsidRPr="00FC7949">
              <w:t xml:space="preserve">Costo Totale per l’Acquisto di n. 14 mezzi </w:t>
            </w:r>
            <w:r w:rsidR="00F15E51" w:rsidRPr="00FC7949">
              <w:t xml:space="preserve">pari ad </w:t>
            </w:r>
            <w:r w:rsidRPr="00FC7949">
              <w:t xml:space="preserve">Euro </w:t>
            </w:r>
            <w:r w:rsidR="0060378B" w:rsidRPr="00FC7949">
              <w:t>56</w:t>
            </w:r>
            <w:r w:rsidR="00F15E51" w:rsidRPr="00FC7949">
              <w:t>.000,00</w:t>
            </w:r>
            <w:r w:rsidRPr="00FC7949">
              <w:t>.</w:t>
            </w:r>
          </w:p>
          <w:p w:rsidR="00756818" w:rsidRPr="00FC7949" w:rsidRDefault="00F15E51" w:rsidP="004B09DF">
            <w:pPr>
              <w:autoSpaceDE w:val="0"/>
              <w:autoSpaceDN w:val="0"/>
              <w:adjustRightInd w:val="0"/>
              <w:jc w:val="both"/>
            </w:pPr>
            <w:r w:rsidRPr="00FC7949">
              <w:t xml:space="preserve">Costo totale per rimborso spese ed oneri assicurativi per </w:t>
            </w:r>
            <w:r w:rsidR="0060378B" w:rsidRPr="00FC7949">
              <w:t>12</w:t>
            </w:r>
            <w:r w:rsidRPr="00FC7949">
              <w:t xml:space="preserve"> mesi di d</w:t>
            </w:r>
            <w:r w:rsidR="0060378B" w:rsidRPr="00FC7949">
              <w:t>urata della convenzione: Euro 14</w:t>
            </w:r>
            <w:r w:rsidRPr="00FC7949">
              <w:t>.000,00</w:t>
            </w:r>
          </w:p>
          <w:p w:rsidR="00756818" w:rsidRPr="00FC7949" w:rsidRDefault="00756818" w:rsidP="004B09DF">
            <w:pPr>
              <w:autoSpaceDE w:val="0"/>
              <w:autoSpaceDN w:val="0"/>
              <w:adjustRightInd w:val="0"/>
              <w:jc w:val="both"/>
            </w:pPr>
          </w:p>
          <w:p w:rsidR="00756818" w:rsidRPr="00756818" w:rsidRDefault="00756818" w:rsidP="00756818">
            <w:pPr>
              <w:autoSpaceDE w:val="0"/>
              <w:autoSpaceDN w:val="0"/>
              <w:adjustRightInd w:val="0"/>
              <w:jc w:val="both"/>
            </w:pPr>
            <w:r w:rsidRPr="00FC7949">
              <w:t xml:space="preserve">Il Comune di Norcia, in rappresentanza degli altri Comuni dell’Area, con apposita dichiarazione sottoscritta dal proprio legale rappresentante, si impegna a garantire l’erogazione del servizio con i </w:t>
            </w:r>
            <w:r w:rsidR="005907C6" w:rsidRPr="00FC7949">
              <w:t xml:space="preserve">beni </w:t>
            </w:r>
            <w:r w:rsidRPr="00FC7949">
              <w:t>acquistati mediante le risorse SNAI previste nella presente scheda. Il Comune di Norcia si impegna altresì a garantire l’erogazione del suddetto servizio anche dopo la fine del periodo di sperimentazione finanziata con le risorse SNAI previste nella presente scheda (per la parte relativa al rimborso spese e agli oneri assicurativi), qualora tale sperimentazione abbia dato esiti positivi.</w:t>
            </w:r>
          </w:p>
          <w:p w:rsidR="00756818" w:rsidRDefault="00756818" w:rsidP="00535BF2">
            <w:pPr>
              <w:autoSpaceDE w:val="0"/>
              <w:autoSpaceDN w:val="0"/>
              <w:adjustRightInd w:val="0"/>
              <w:jc w:val="both"/>
              <w:rPr>
                <w:rFonts w:ascii="Arial" w:eastAsia="Arial" w:hAnsi="Arial"/>
                <w:b/>
                <w:sz w:val="16"/>
              </w:rPr>
            </w:pPr>
          </w:p>
        </w:tc>
      </w:tr>
      <w:tr w:rsidR="00BF488D" w:rsidTr="00FC7949">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
              </w:rPr>
            </w:pPr>
          </w:p>
        </w:tc>
        <w:tc>
          <w:tcPr>
            <w:tcW w:w="28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
              </w:rPr>
            </w:pPr>
          </w:p>
        </w:tc>
        <w:tc>
          <w:tcPr>
            <w:tcW w:w="6240"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
              </w:rPr>
            </w:pPr>
          </w:p>
        </w:tc>
      </w:tr>
      <w:tr w:rsidR="00BF488D" w:rsidRPr="00515AD2" w:rsidTr="00FC7949">
        <w:trPr>
          <w:trHeight w:val="178"/>
        </w:trPr>
        <w:tc>
          <w:tcPr>
            <w:tcW w:w="580" w:type="dxa"/>
            <w:tcBorders>
              <w:left w:val="single" w:sz="8" w:space="0" w:color="auto"/>
              <w:right w:val="single" w:sz="8" w:space="0" w:color="auto"/>
            </w:tcBorders>
            <w:shd w:val="clear" w:color="auto" w:fill="auto"/>
          </w:tcPr>
          <w:p w:rsidR="00BF488D" w:rsidRPr="00C77226" w:rsidRDefault="00B52D12" w:rsidP="003169B1">
            <w:pPr>
              <w:spacing w:line="177" w:lineRule="exact"/>
              <w:ind w:left="80"/>
              <w:rPr>
                <w:rFonts w:ascii="Arial" w:eastAsia="Arial" w:hAnsi="Arial"/>
                <w:b/>
                <w:sz w:val="16"/>
              </w:rPr>
            </w:pPr>
            <w:r>
              <w:rPr>
                <w:rFonts w:ascii="Arial" w:eastAsia="Arial" w:hAnsi="Arial"/>
                <w:b/>
                <w:sz w:val="16"/>
              </w:rPr>
              <w:t>8</w:t>
            </w:r>
          </w:p>
        </w:tc>
        <w:tc>
          <w:tcPr>
            <w:tcW w:w="2840" w:type="dxa"/>
            <w:tcBorders>
              <w:right w:val="single" w:sz="8" w:space="0" w:color="auto"/>
            </w:tcBorders>
            <w:shd w:val="clear" w:color="auto" w:fill="auto"/>
          </w:tcPr>
          <w:p w:rsidR="00BF488D" w:rsidRPr="00C77226" w:rsidRDefault="00BF488D" w:rsidP="003169B1">
            <w:pPr>
              <w:spacing w:line="177" w:lineRule="exact"/>
              <w:ind w:left="60"/>
              <w:rPr>
                <w:rFonts w:ascii="Arial" w:eastAsia="Arial" w:hAnsi="Arial"/>
                <w:b/>
                <w:sz w:val="16"/>
              </w:rPr>
            </w:pPr>
            <w:r w:rsidRPr="00C77226">
              <w:rPr>
                <w:rFonts w:ascii="Arial" w:eastAsia="Arial" w:hAnsi="Arial"/>
                <w:b/>
                <w:sz w:val="16"/>
              </w:rPr>
              <w:t>Risultati attesi</w:t>
            </w:r>
          </w:p>
        </w:tc>
        <w:tc>
          <w:tcPr>
            <w:tcW w:w="6240" w:type="dxa"/>
            <w:tcBorders>
              <w:right w:val="single" w:sz="8" w:space="0" w:color="auto"/>
            </w:tcBorders>
            <w:shd w:val="clear" w:color="auto" w:fill="auto"/>
            <w:vAlign w:val="bottom"/>
          </w:tcPr>
          <w:p w:rsidR="00EB55A2" w:rsidRPr="00C77226" w:rsidRDefault="00EB55A2" w:rsidP="00EB55A2">
            <w:pPr>
              <w:jc w:val="both"/>
            </w:pPr>
            <w:r w:rsidRPr="00C77226">
              <w:t>Miglioramento della mobilità da, per e entro le aree interne al fine di</w:t>
            </w:r>
          </w:p>
          <w:p w:rsidR="00BF488D" w:rsidRPr="00C77226" w:rsidRDefault="00EB55A2" w:rsidP="00EB55A2">
            <w:pPr>
              <w:jc w:val="both"/>
              <w:rPr>
                <w:rFonts w:ascii="Arial" w:eastAsia="Arial" w:hAnsi="Arial"/>
                <w:b/>
                <w:sz w:val="16"/>
              </w:rPr>
            </w:pPr>
            <w:r w:rsidRPr="00C77226">
              <w:t>rendere più accessibili i servizi sul territorio.</w:t>
            </w:r>
          </w:p>
        </w:tc>
      </w:tr>
      <w:tr w:rsidR="00BF488D" w:rsidRPr="00515AD2" w:rsidTr="00FC7949">
        <w:trPr>
          <w:trHeight w:val="212"/>
        </w:trPr>
        <w:tc>
          <w:tcPr>
            <w:tcW w:w="580" w:type="dxa"/>
            <w:tcBorders>
              <w:left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Pr="00C77226" w:rsidRDefault="00BF488D" w:rsidP="00A11F01">
            <w:pPr>
              <w:spacing w:line="0" w:lineRule="atLeast"/>
              <w:ind w:left="60"/>
              <w:rPr>
                <w:rFonts w:ascii="Arial" w:eastAsia="Arial" w:hAnsi="Arial"/>
                <w:b/>
                <w:sz w:val="16"/>
              </w:rPr>
            </w:pPr>
          </w:p>
        </w:tc>
      </w:tr>
      <w:tr w:rsidR="00BF488D" w:rsidRPr="00515AD2" w:rsidTr="00FC7949">
        <w:trPr>
          <w:trHeight w:val="211"/>
        </w:trPr>
        <w:tc>
          <w:tcPr>
            <w:tcW w:w="580" w:type="dxa"/>
            <w:tcBorders>
              <w:left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BF488D" w:rsidRPr="00C77226" w:rsidRDefault="00BF488D" w:rsidP="00A11F01">
            <w:pPr>
              <w:spacing w:line="0" w:lineRule="atLeast"/>
              <w:ind w:left="60"/>
              <w:rPr>
                <w:rFonts w:ascii="Arial" w:eastAsia="Arial" w:hAnsi="Arial"/>
                <w:b/>
                <w:sz w:val="16"/>
              </w:rPr>
            </w:pPr>
          </w:p>
        </w:tc>
      </w:tr>
      <w:tr w:rsidR="00BF488D" w:rsidRPr="00515AD2" w:rsidTr="00FC7949">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9"/>
              </w:rPr>
            </w:pPr>
          </w:p>
        </w:tc>
        <w:tc>
          <w:tcPr>
            <w:tcW w:w="2840" w:type="dxa"/>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9"/>
              </w:rPr>
            </w:pPr>
          </w:p>
        </w:tc>
        <w:tc>
          <w:tcPr>
            <w:tcW w:w="6240" w:type="dxa"/>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9"/>
              </w:rPr>
            </w:pPr>
          </w:p>
        </w:tc>
      </w:tr>
      <w:tr w:rsidR="00BF488D" w:rsidRPr="00515AD2" w:rsidTr="00FC7949">
        <w:trPr>
          <w:trHeight w:val="180"/>
        </w:trPr>
        <w:tc>
          <w:tcPr>
            <w:tcW w:w="580" w:type="dxa"/>
            <w:tcBorders>
              <w:left w:val="single" w:sz="8" w:space="0" w:color="auto"/>
              <w:right w:val="single" w:sz="8" w:space="0" w:color="auto"/>
            </w:tcBorders>
            <w:shd w:val="clear" w:color="auto" w:fill="auto"/>
          </w:tcPr>
          <w:p w:rsidR="00BF488D" w:rsidRPr="00C77226" w:rsidRDefault="00B52D12" w:rsidP="003169B1">
            <w:pPr>
              <w:spacing w:line="179" w:lineRule="exact"/>
              <w:ind w:left="80"/>
              <w:rPr>
                <w:rFonts w:ascii="Arial" w:eastAsia="Arial" w:hAnsi="Arial"/>
                <w:b/>
                <w:sz w:val="16"/>
              </w:rPr>
            </w:pPr>
            <w:r>
              <w:rPr>
                <w:rFonts w:ascii="Arial" w:eastAsia="Arial" w:hAnsi="Arial"/>
                <w:b/>
                <w:sz w:val="16"/>
              </w:rPr>
              <w:t>9</w:t>
            </w:r>
          </w:p>
        </w:tc>
        <w:tc>
          <w:tcPr>
            <w:tcW w:w="2840" w:type="dxa"/>
            <w:tcBorders>
              <w:right w:val="single" w:sz="8" w:space="0" w:color="auto"/>
            </w:tcBorders>
            <w:shd w:val="clear" w:color="auto" w:fill="auto"/>
          </w:tcPr>
          <w:p w:rsidR="003169B1" w:rsidRPr="00C77226" w:rsidRDefault="00BF488D" w:rsidP="003169B1">
            <w:pPr>
              <w:spacing w:line="179" w:lineRule="exact"/>
              <w:ind w:left="60"/>
              <w:rPr>
                <w:rFonts w:ascii="Arial" w:eastAsia="Arial" w:hAnsi="Arial"/>
                <w:b/>
                <w:sz w:val="16"/>
              </w:rPr>
            </w:pPr>
            <w:r w:rsidRPr="00C77226">
              <w:rPr>
                <w:rFonts w:ascii="Arial" w:eastAsia="Arial" w:hAnsi="Arial"/>
                <w:b/>
                <w:sz w:val="16"/>
              </w:rPr>
              <w:t>Indicatori di realizzazione e</w:t>
            </w:r>
          </w:p>
          <w:p w:rsidR="00BF488D" w:rsidRPr="00C77226" w:rsidRDefault="003169B1" w:rsidP="003169B1">
            <w:pPr>
              <w:spacing w:line="179" w:lineRule="exact"/>
              <w:ind w:left="60"/>
              <w:rPr>
                <w:rFonts w:ascii="Arial" w:eastAsia="Arial" w:hAnsi="Arial"/>
                <w:b/>
                <w:sz w:val="16"/>
              </w:rPr>
            </w:pPr>
            <w:r w:rsidRPr="00C77226">
              <w:rPr>
                <w:rFonts w:ascii="Arial" w:eastAsia="Arial" w:hAnsi="Arial"/>
                <w:b/>
                <w:sz w:val="16"/>
              </w:rPr>
              <w:t xml:space="preserve"> risultato</w:t>
            </w:r>
          </w:p>
        </w:tc>
        <w:tc>
          <w:tcPr>
            <w:tcW w:w="6240" w:type="dxa"/>
            <w:tcBorders>
              <w:right w:val="single" w:sz="8" w:space="0" w:color="auto"/>
            </w:tcBorders>
            <w:shd w:val="clear" w:color="auto" w:fill="auto"/>
            <w:vAlign w:val="bottom"/>
          </w:tcPr>
          <w:p w:rsidR="00FC7949" w:rsidRPr="00FC7949" w:rsidRDefault="00FC7949" w:rsidP="00FC7949">
            <w:pPr>
              <w:jc w:val="both"/>
              <w:rPr>
                <w:b/>
              </w:rPr>
            </w:pPr>
            <w:r w:rsidRPr="00FC7949">
              <w:rPr>
                <w:b/>
              </w:rPr>
              <w:t>Indicatore di Realizzazione</w:t>
            </w:r>
          </w:p>
          <w:p w:rsidR="008F296A" w:rsidRDefault="008F296A" w:rsidP="00FC7949">
            <w:pPr>
              <w:jc w:val="both"/>
            </w:pPr>
            <w:r>
              <w:t>(ID 794) Unità beni acquistati</w:t>
            </w:r>
          </w:p>
          <w:p w:rsidR="00FC7949" w:rsidRPr="00C77226" w:rsidRDefault="00FC7949" w:rsidP="00FC7949">
            <w:pPr>
              <w:jc w:val="both"/>
            </w:pPr>
            <w:r w:rsidRPr="00C77226">
              <w:t>Baseline 0</w:t>
            </w:r>
          </w:p>
          <w:p w:rsidR="00FC7949" w:rsidRPr="00C77226" w:rsidRDefault="00FC7949" w:rsidP="00FC7949">
            <w:pPr>
              <w:jc w:val="both"/>
            </w:pPr>
            <w:r w:rsidRPr="00C77226">
              <w:t>Target 14</w:t>
            </w:r>
          </w:p>
          <w:p w:rsidR="00FC7949" w:rsidRPr="00C77226" w:rsidRDefault="00FC7949" w:rsidP="00FC7949">
            <w:pPr>
              <w:jc w:val="both"/>
            </w:pPr>
            <w:r w:rsidRPr="00C77226">
              <w:t>Fonte dati: Comune di Norcia in qualità di comune capofila</w:t>
            </w:r>
          </w:p>
          <w:p w:rsidR="00FC7949" w:rsidRPr="00C77226" w:rsidRDefault="00FC7949" w:rsidP="00FC7949">
            <w:pPr>
              <w:jc w:val="both"/>
            </w:pPr>
            <w:r w:rsidRPr="00C77226">
              <w:t>Numero di servizi attivati</w:t>
            </w:r>
          </w:p>
          <w:p w:rsidR="00FC7949" w:rsidRPr="00C77226" w:rsidRDefault="00FC7949" w:rsidP="00FC7949">
            <w:pPr>
              <w:jc w:val="both"/>
            </w:pPr>
            <w:r w:rsidRPr="00C77226">
              <w:t>Baseline 0</w:t>
            </w:r>
          </w:p>
          <w:p w:rsidR="00FC7949" w:rsidRDefault="00FC7949" w:rsidP="00FC7949">
            <w:pPr>
              <w:jc w:val="both"/>
              <w:rPr>
                <w:b/>
              </w:rPr>
            </w:pPr>
            <w:r>
              <w:t>Target 1</w:t>
            </w:r>
          </w:p>
          <w:p w:rsidR="00FC7949" w:rsidRDefault="00FC7949" w:rsidP="00DD7F98">
            <w:pPr>
              <w:jc w:val="both"/>
              <w:rPr>
                <w:b/>
              </w:rPr>
            </w:pPr>
          </w:p>
          <w:p w:rsidR="00DD7F98" w:rsidRPr="00FC7949" w:rsidRDefault="00DD7F98" w:rsidP="00DD7F98">
            <w:pPr>
              <w:jc w:val="both"/>
              <w:rPr>
                <w:b/>
              </w:rPr>
            </w:pPr>
            <w:r w:rsidRPr="00FC7949">
              <w:rPr>
                <w:b/>
              </w:rPr>
              <w:t>Indicatore di Risultato</w:t>
            </w:r>
          </w:p>
          <w:p w:rsidR="00DD7F98" w:rsidRDefault="00DD7F98" w:rsidP="00DD7F98">
            <w:pPr>
              <w:jc w:val="both"/>
            </w:pPr>
            <w:r>
              <w:t>(ID 6005) Utilizzo di servizi collettivi innovativi per la mobilità sostenibile</w:t>
            </w:r>
          </w:p>
          <w:p w:rsidR="00DD7F98" w:rsidRPr="00DD7F98" w:rsidRDefault="00DD7F98" w:rsidP="00DD7F98">
            <w:pPr>
              <w:jc w:val="both"/>
              <w:rPr>
                <w:lang w:val="en-US"/>
              </w:rPr>
            </w:pPr>
            <w:r w:rsidRPr="00DD7F98">
              <w:rPr>
                <w:lang w:val="en-US"/>
              </w:rPr>
              <w:t>Baseline: n.d.</w:t>
            </w:r>
          </w:p>
          <w:p w:rsidR="00DD7F98" w:rsidRPr="00DD7F98" w:rsidRDefault="00DD7F98" w:rsidP="00DD7F98">
            <w:pPr>
              <w:jc w:val="both"/>
              <w:rPr>
                <w:lang w:val="en-US"/>
              </w:rPr>
            </w:pPr>
            <w:r w:rsidRPr="00DD7F98">
              <w:rPr>
                <w:lang w:val="en-US"/>
              </w:rPr>
              <w:t xml:space="preserve">Target: n.d. </w:t>
            </w:r>
          </w:p>
          <w:p w:rsidR="00DD7F98" w:rsidRDefault="00DD7F98" w:rsidP="00DD7F98">
            <w:pPr>
              <w:jc w:val="both"/>
            </w:pPr>
            <w:r>
              <w:t>Fonte dati: Comune di Norcia, Indagine ad hoc</w:t>
            </w:r>
          </w:p>
          <w:p w:rsidR="00EB55A2" w:rsidRPr="00FC7949" w:rsidRDefault="00DD7F98" w:rsidP="00C77226">
            <w:pPr>
              <w:jc w:val="both"/>
              <w:rPr>
                <w:i/>
                <w:sz w:val="18"/>
                <w:szCs w:val="18"/>
              </w:rPr>
            </w:pPr>
            <w:r>
              <w:rPr>
                <w:i/>
                <w:sz w:val="18"/>
                <w:szCs w:val="18"/>
              </w:rPr>
              <w:t>(In fase di predisposizione del Piano della Mobilità (Scheda MO.1) si provvederà ad effettuare indagini ad hoc necessarie alla valorizzazione degli indicatori previsti)</w:t>
            </w:r>
          </w:p>
        </w:tc>
      </w:tr>
      <w:tr w:rsidR="00BF488D" w:rsidRPr="00515AD2" w:rsidTr="00FC7949">
        <w:trPr>
          <w:trHeight w:val="216"/>
        </w:trPr>
        <w:tc>
          <w:tcPr>
            <w:tcW w:w="580" w:type="dxa"/>
            <w:tcBorders>
              <w:left w:val="single" w:sz="8" w:space="0" w:color="auto"/>
              <w:right w:val="single" w:sz="8" w:space="0" w:color="auto"/>
            </w:tcBorders>
            <w:shd w:val="clear" w:color="auto" w:fill="auto"/>
          </w:tcPr>
          <w:p w:rsidR="00BF488D" w:rsidRPr="00515AD2" w:rsidRDefault="00BF488D" w:rsidP="003169B1">
            <w:pPr>
              <w:spacing w:line="0" w:lineRule="atLeast"/>
              <w:rPr>
                <w:rFonts w:ascii="Times New Roman" w:eastAsia="Times New Roman" w:hAnsi="Times New Roman"/>
                <w:sz w:val="18"/>
                <w:highlight w:val="yellow"/>
              </w:rPr>
            </w:pPr>
          </w:p>
        </w:tc>
        <w:tc>
          <w:tcPr>
            <w:tcW w:w="2840" w:type="dxa"/>
            <w:tcBorders>
              <w:right w:val="single" w:sz="8" w:space="0" w:color="auto"/>
            </w:tcBorders>
            <w:shd w:val="clear" w:color="auto" w:fill="auto"/>
          </w:tcPr>
          <w:p w:rsidR="00BF488D" w:rsidRPr="00515AD2" w:rsidRDefault="00BF488D" w:rsidP="003169B1">
            <w:pPr>
              <w:spacing w:line="0" w:lineRule="atLeast"/>
              <w:ind w:left="60"/>
              <w:rPr>
                <w:rFonts w:ascii="Arial" w:eastAsia="Arial" w:hAnsi="Arial"/>
                <w:b/>
                <w:sz w:val="16"/>
                <w:highlight w:val="yellow"/>
              </w:rPr>
            </w:pPr>
          </w:p>
        </w:tc>
        <w:tc>
          <w:tcPr>
            <w:tcW w:w="6240" w:type="dxa"/>
            <w:tcBorders>
              <w:right w:val="single" w:sz="8" w:space="0" w:color="auto"/>
            </w:tcBorders>
            <w:shd w:val="clear" w:color="auto" w:fill="auto"/>
            <w:vAlign w:val="bottom"/>
          </w:tcPr>
          <w:p w:rsidR="00BF488D" w:rsidRPr="00515AD2" w:rsidRDefault="00BF488D" w:rsidP="00A11F01">
            <w:pPr>
              <w:spacing w:line="0" w:lineRule="atLeast"/>
              <w:ind w:left="60"/>
              <w:rPr>
                <w:rFonts w:ascii="Arial" w:eastAsia="Arial" w:hAnsi="Arial"/>
                <w:b/>
                <w:sz w:val="16"/>
                <w:highlight w:val="yellow"/>
              </w:rPr>
            </w:pPr>
          </w:p>
        </w:tc>
      </w:tr>
      <w:tr w:rsidR="00BF488D" w:rsidRPr="00515AD2" w:rsidTr="00FC7949">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0"/>
              </w:rPr>
            </w:pPr>
          </w:p>
        </w:tc>
        <w:tc>
          <w:tcPr>
            <w:tcW w:w="2840" w:type="dxa"/>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0"/>
              </w:rPr>
            </w:pPr>
          </w:p>
        </w:tc>
        <w:tc>
          <w:tcPr>
            <w:tcW w:w="6240" w:type="dxa"/>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0"/>
              </w:rPr>
            </w:pPr>
          </w:p>
        </w:tc>
      </w:tr>
      <w:tr w:rsidR="006041D7" w:rsidRPr="00515AD2" w:rsidTr="00FC7949">
        <w:trPr>
          <w:trHeight w:val="180"/>
        </w:trPr>
        <w:tc>
          <w:tcPr>
            <w:tcW w:w="580" w:type="dxa"/>
            <w:tcBorders>
              <w:left w:val="single" w:sz="8" w:space="0" w:color="auto"/>
              <w:right w:val="single" w:sz="8" w:space="0" w:color="auto"/>
            </w:tcBorders>
            <w:shd w:val="clear" w:color="auto" w:fill="auto"/>
            <w:vAlign w:val="bottom"/>
          </w:tcPr>
          <w:p w:rsidR="006041D7" w:rsidRPr="00C77226" w:rsidRDefault="006041D7" w:rsidP="00B52D12">
            <w:pPr>
              <w:spacing w:line="179" w:lineRule="exact"/>
              <w:ind w:left="80"/>
              <w:rPr>
                <w:rFonts w:ascii="Arial" w:eastAsia="Arial" w:hAnsi="Arial"/>
                <w:b/>
                <w:sz w:val="16"/>
              </w:rPr>
            </w:pPr>
            <w:r w:rsidRPr="00C77226">
              <w:rPr>
                <w:rFonts w:ascii="Arial" w:eastAsia="Arial" w:hAnsi="Arial"/>
                <w:b/>
                <w:sz w:val="16"/>
              </w:rPr>
              <w:t>1</w:t>
            </w:r>
            <w:r w:rsidR="00B52D12">
              <w:rPr>
                <w:rFonts w:ascii="Arial" w:eastAsia="Arial" w:hAnsi="Arial"/>
                <w:b/>
                <w:sz w:val="16"/>
              </w:rPr>
              <w:t>0</w:t>
            </w:r>
          </w:p>
        </w:tc>
        <w:tc>
          <w:tcPr>
            <w:tcW w:w="2840" w:type="dxa"/>
            <w:tcBorders>
              <w:right w:val="single" w:sz="8" w:space="0" w:color="auto"/>
            </w:tcBorders>
            <w:shd w:val="clear" w:color="auto" w:fill="auto"/>
            <w:vAlign w:val="bottom"/>
          </w:tcPr>
          <w:p w:rsidR="006041D7" w:rsidRPr="00C77226" w:rsidRDefault="006041D7" w:rsidP="00A11F01">
            <w:pPr>
              <w:spacing w:line="179" w:lineRule="exact"/>
              <w:ind w:left="60"/>
              <w:rPr>
                <w:rFonts w:ascii="Arial" w:eastAsia="Arial" w:hAnsi="Arial"/>
                <w:b/>
                <w:sz w:val="16"/>
              </w:rPr>
            </w:pPr>
            <w:r w:rsidRPr="00C77226">
              <w:rPr>
                <w:rFonts w:ascii="Arial" w:eastAsia="Arial" w:hAnsi="Arial"/>
                <w:b/>
                <w:sz w:val="16"/>
              </w:rPr>
              <w:t>Modalità previste per l'attivazione</w:t>
            </w:r>
          </w:p>
        </w:tc>
        <w:tc>
          <w:tcPr>
            <w:tcW w:w="6240" w:type="dxa"/>
            <w:tcBorders>
              <w:right w:val="single" w:sz="8" w:space="0" w:color="auto"/>
            </w:tcBorders>
            <w:shd w:val="clear" w:color="auto" w:fill="auto"/>
            <w:vAlign w:val="bottom"/>
          </w:tcPr>
          <w:p w:rsidR="006041D7" w:rsidRPr="00FC7949" w:rsidRDefault="006041D7" w:rsidP="00FB6A6F">
            <w:pPr>
              <w:spacing w:line="179" w:lineRule="exact"/>
              <w:ind w:left="60"/>
              <w:rPr>
                <w:rFonts w:ascii="Arial" w:eastAsia="Arial" w:hAnsi="Arial"/>
                <w:sz w:val="16"/>
              </w:rPr>
            </w:pPr>
            <w:r w:rsidRPr="00FC7949">
              <w:rPr>
                <w:rFonts w:ascii="Arial" w:eastAsia="Arial" w:hAnsi="Arial"/>
                <w:sz w:val="16"/>
              </w:rPr>
              <w:t xml:space="preserve">Acquisto di forniture tramite procedure previste nel Codice dei Contratti pubblici (D. </w:t>
            </w:r>
            <w:proofErr w:type="spellStart"/>
            <w:r w:rsidRPr="00FC7949">
              <w:rPr>
                <w:rFonts w:ascii="Arial" w:eastAsia="Arial" w:hAnsi="Arial"/>
                <w:sz w:val="16"/>
              </w:rPr>
              <w:t>Lgs</w:t>
            </w:r>
            <w:proofErr w:type="spellEnd"/>
            <w:r w:rsidRPr="00FC7949">
              <w:rPr>
                <w:rFonts w:ascii="Arial" w:eastAsia="Arial" w:hAnsi="Arial"/>
                <w:sz w:val="16"/>
              </w:rPr>
              <w:t xml:space="preserve">. n. 50/2016). </w:t>
            </w:r>
          </w:p>
        </w:tc>
      </w:tr>
      <w:tr w:rsidR="006041D7" w:rsidRPr="00515AD2" w:rsidTr="00FC7949">
        <w:trPr>
          <w:trHeight w:val="211"/>
        </w:trPr>
        <w:tc>
          <w:tcPr>
            <w:tcW w:w="580" w:type="dxa"/>
            <w:tcBorders>
              <w:left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6041D7" w:rsidRPr="00C77226" w:rsidRDefault="006041D7" w:rsidP="00A11F01">
            <w:pPr>
              <w:spacing w:line="0" w:lineRule="atLeast"/>
              <w:ind w:left="60"/>
              <w:rPr>
                <w:rFonts w:ascii="Arial" w:eastAsia="Arial" w:hAnsi="Arial"/>
                <w:b/>
                <w:sz w:val="16"/>
              </w:rPr>
            </w:pPr>
            <w:r w:rsidRPr="00C77226">
              <w:rPr>
                <w:rFonts w:ascii="Arial" w:eastAsia="Arial" w:hAnsi="Arial"/>
                <w:b/>
                <w:sz w:val="16"/>
              </w:rPr>
              <w:t>del cantiere</w:t>
            </w:r>
          </w:p>
        </w:tc>
        <w:tc>
          <w:tcPr>
            <w:tcW w:w="6240" w:type="dxa"/>
            <w:tcBorders>
              <w:right w:val="single" w:sz="8" w:space="0" w:color="auto"/>
            </w:tcBorders>
            <w:shd w:val="clear" w:color="auto" w:fill="auto"/>
            <w:vAlign w:val="bottom"/>
          </w:tcPr>
          <w:p w:rsidR="006041D7" w:rsidRPr="00FC7949" w:rsidRDefault="006041D7" w:rsidP="00FB6A6F">
            <w:pPr>
              <w:spacing w:line="0" w:lineRule="atLeast"/>
              <w:ind w:left="60"/>
              <w:rPr>
                <w:rFonts w:ascii="Arial" w:eastAsia="Arial" w:hAnsi="Arial"/>
                <w:sz w:val="16"/>
              </w:rPr>
            </w:pPr>
            <w:r w:rsidRPr="00FC7949">
              <w:rPr>
                <w:rFonts w:ascii="Arial" w:eastAsia="Arial" w:hAnsi="Arial"/>
                <w:sz w:val="16"/>
              </w:rPr>
              <w:t xml:space="preserve">Successiva stipulazione della convenzione a norma dell’art. 56 del Codice del Terzo settore (D. </w:t>
            </w:r>
            <w:proofErr w:type="spellStart"/>
            <w:r w:rsidRPr="00FC7949">
              <w:rPr>
                <w:rFonts w:ascii="Arial" w:eastAsia="Arial" w:hAnsi="Arial"/>
                <w:sz w:val="16"/>
              </w:rPr>
              <w:t>Lgs</w:t>
            </w:r>
            <w:proofErr w:type="spellEnd"/>
            <w:r w:rsidRPr="00FC7949">
              <w:rPr>
                <w:rFonts w:ascii="Arial" w:eastAsia="Arial" w:hAnsi="Arial"/>
                <w:sz w:val="16"/>
              </w:rPr>
              <w:t>. n. 117/2017).</w:t>
            </w:r>
          </w:p>
        </w:tc>
      </w:tr>
      <w:tr w:rsidR="006041D7" w:rsidRPr="00515AD2" w:rsidTr="00FC7949">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0"/>
              </w:rPr>
            </w:pPr>
          </w:p>
        </w:tc>
        <w:tc>
          <w:tcPr>
            <w:tcW w:w="2840" w:type="dxa"/>
            <w:tcBorders>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0"/>
              </w:rPr>
            </w:pPr>
          </w:p>
        </w:tc>
        <w:tc>
          <w:tcPr>
            <w:tcW w:w="6240" w:type="dxa"/>
            <w:tcBorders>
              <w:bottom w:val="single" w:sz="8" w:space="0" w:color="auto"/>
              <w:right w:val="single" w:sz="8" w:space="0" w:color="auto"/>
            </w:tcBorders>
            <w:shd w:val="clear" w:color="auto" w:fill="auto"/>
            <w:vAlign w:val="bottom"/>
          </w:tcPr>
          <w:p w:rsidR="006041D7" w:rsidRPr="00FC7949" w:rsidRDefault="006041D7" w:rsidP="00A11F01">
            <w:pPr>
              <w:spacing w:line="0" w:lineRule="atLeast"/>
              <w:rPr>
                <w:rFonts w:ascii="Times New Roman" w:eastAsia="Times New Roman" w:hAnsi="Times New Roman"/>
                <w:sz w:val="10"/>
              </w:rPr>
            </w:pPr>
          </w:p>
        </w:tc>
      </w:tr>
      <w:tr w:rsidR="006041D7" w:rsidRPr="00515AD2" w:rsidTr="00FC7949">
        <w:trPr>
          <w:trHeight w:val="178"/>
        </w:trPr>
        <w:tc>
          <w:tcPr>
            <w:tcW w:w="580" w:type="dxa"/>
            <w:tcBorders>
              <w:left w:val="single" w:sz="8" w:space="0" w:color="auto"/>
              <w:right w:val="single" w:sz="8" w:space="0" w:color="auto"/>
            </w:tcBorders>
            <w:shd w:val="clear" w:color="auto" w:fill="auto"/>
            <w:vAlign w:val="bottom"/>
          </w:tcPr>
          <w:p w:rsidR="006041D7" w:rsidRPr="00C77226" w:rsidRDefault="00B52D12" w:rsidP="00A11F01">
            <w:pPr>
              <w:spacing w:line="177" w:lineRule="exact"/>
              <w:ind w:left="80"/>
              <w:rPr>
                <w:rFonts w:ascii="Arial" w:eastAsia="Arial" w:hAnsi="Arial"/>
                <w:b/>
                <w:sz w:val="16"/>
              </w:rPr>
            </w:pPr>
            <w:r>
              <w:rPr>
                <w:rFonts w:ascii="Arial" w:eastAsia="Arial" w:hAnsi="Arial"/>
                <w:b/>
                <w:sz w:val="16"/>
              </w:rPr>
              <w:t>11</w:t>
            </w:r>
          </w:p>
        </w:tc>
        <w:tc>
          <w:tcPr>
            <w:tcW w:w="2840" w:type="dxa"/>
            <w:tcBorders>
              <w:right w:val="single" w:sz="8" w:space="0" w:color="auto"/>
            </w:tcBorders>
            <w:shd w:val="clear" w:color="auto" w:fill="auto"/>
            <w:vAlign w:val="bottom"/>
          </w:tcPr>
          <w:p w:rsidR="006041D7" w:rsidRPr="00C77226" w:rsidRDefault="006041D7" w:rsidP="00A11F01">
            <w:pPr>
              <w:spacing w:line="177" w:lineRule="exact"/>
              <w:ind w:left="60"/>
              <w:rPr>
                <w:rFonts w:ascii="Arial" w:eastAsia="Arial" w:hAnsi="Arial"/>
                <w:b/>
                <w:sz w:val="16"/>
              </w:rPr>
            </w:pPr>
            <w:r w:rsidRPr="00C77226">
              <w:rPr>
                <w:rFonts w:ascii="Arial" w:eastAsia="Arial" w:hAnsi="Arial"/>
                <w:b/>
                <w:sz w:val="16"/>
              </w:rPr>
              <w:t>Progettazione necessaria per</w:t>
            </w:r>
          </w:p>
        </w:tc>
        <w:tc>
          <w:tcPr>
            <w:tcW w:w="6240" w:type="dxa"/>
            <w:tcBorders>
              <w:right w:val="single" w:sz="8" w:space="0" w:color="auto"/>
            </w:tcBorders>
            <w:shd w:val="clear" w:color="auto" w:fill="auto"/>
            <w:vAlign w:val="bottom"/>
          </w:tcPr>
          <w:p w:rsidR="006041D7" w:rsidRPr="00FC7949" w:rsidRDefault="0060378B" w:rsidP="00A11F01">
            <w:pPr>
              <w:spacing w:line="177" w:lineRule="exact"/>
              <w:ind w:left="60"/>
              <w:rPr>
                <w:rFonts w:ascii="Arial" w:eastAsia="Arial" w:hAnsi="Arial"/>
                <w:sz w:val="16"/>
              </w:rPr>
            </w:pPr>
            <w:r w:rsidRPr="00FC7949">
              <w:rPr>
                <w:rFonts w:ascii="Arial" w:eastAsia="Arial" w:hAnsi="Arial"/>
                <w:sz w:val="16"/>
              </w:rPr>
              <w:t>Capitolato d’oneri/atto di adesione all’eventuale</w:t>
            </w:r>
            <w:r w:rsidR="00113BBD" w:rsidRPr="00FC7949">
              <w:rPr>
                <w:rFonts w:ascii="Arial" w:eastAsia="Arial" w:hAnsi="Arial"/>
                <w:sz w:val="16"/>
              </w:rPr>
              <w:t xml:space="preserve"> Convenzione CONSIP</w:t>
            </w:r>
          </w:p>
        </w:tc>
      </w:tr>
      <w:tr w:rsidR="006041D7" w:rsidRPr="00515AD2" w:rsidTr="00FC7949">
        <w:trPr>
          <w:trHeight w:val="211"/>
        </w:trPr>
        <w:tc>
          <w:tcPr>
            <w:tcW w:w="580" w:type="dxa"/>
            <w:tcBorders>
              <w:left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6041D7" w:rsidRPr="00C77226" w:rsidRDefault="006041D7" w:rsidP="00A11F01">
            <w:pPr>
              <w:spacing w:line="0" w:lineRule="atLeast"/>
              <w:ind w:left="60"/>
              <w:rPr>
                <w:rFonts w:ascii="Arial" w:eastAsia="Arial" w:hAnsi="Arial"/>
                <w:b/>
                <w:sz w:val="16"/>
              </w:rPr>
            </w:pPr>
            <w:r w:rsidRPr="00C77226">
              <w:rPr>
                <w:rFonts w:ascii="Arial" w:eastAsia="Arial" w:hAnsi="Arial"/>
                <w:b/>
                <w:sz w:val="16"/>
              </w:rPr>
              <w:t>l'avvio dell'affidamento</w:t>
            </w:r>
          </w:p>
        </w:tc>
        <w:tc>
          <w:tcPr>
            <w:tcW w:w="6240" w:type="dxa"/>
            <w:tcBorders>
              <w:right w:val="single" w:sz="8" w:space="0" w:color="auto"/>
            </w:tcBorders>
            <w:shd w:val="clear" w:color="auto" w:fill="auto"/>
            <w:vAlign w:val="bottom"/>
          </w:tcPr>
          <w:p w:rsidR="006041D7" w:rsidRPr="00FC7949" w:rsidRDefault="006041D7" w:rsidP="00A11F01">
            <w:pPr>
              <w:spacing w:line="0" w:lineRule="atLeast"/>
              <w:ind w:left="60"/>
              <w:rPr>
                <w:rFonts w:ascii="Arial" w:eastAsia="Arial" w:hAnsi="Arial"/>
                <w:sz w:val="16"/>
              </w:rPr>
            </w:pPr>
          </w:p>
        </w:tc>
      </w:tr>
      <w:tr w:rsidR="006041D7" w:rsidRPr="00515AD2" w:rsidTr="00FC7949">
        <w:trPr>
          <w:trHeight w:val="214"/>
        </w:trPr>
        <w:tc>
          <w:tcPr>
            <w:tcW w:w="580" w:type="dxa"/>
            <w:tcBorders>
              <w:left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8"/>
              </w:rPr>
            </w:pPr>
          </w:p>
        </w:tc>
        <w:tc>
          <w:tcPr>
            <w:tcW w:w="6240" w:type="dxa"/>
            <w:tcBorders>
              <w:right w:val="single" w:sz="8" w:space="0" w:color="auto"/>
            </w:tcBorders>
            <w:shd w:val="clear" w:color="auto" w:fill="auto"/>
            <w:vAlign w:val="bottom"/>
          </w:tcPr>
          <w:p w:rsidR="006041D7" w:rsidRPr="00FC7949" w:rsidRDefault="006041D7" w:rsidP="00A11F01">
            <w:pPr>
              <w:spacing w:line="0" w:lineRule="atLeast"/>
              <w:ind w:left="60"/>
              <w:rPr>
                <w:rFonts w:ascii="Arial" w:eastAsia="Arial" w:hAnsi="Arial"/>
                <w:sz w:val="16"/>
              </w:rPr>
            </w:pPr>
          </w:p>
        </w:tc>
      </w:tr>
      <w:tr w:rsidR="006041D7" w:rsidRPr="00515AD2" w:rsidTr="00FC7949">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9"/>
              </w:rPr>
            </w:pPr>
          </w:p>
        </w:tc>
        <w:tc>
          <w:tcPr>
            <w:tcW w:w="2840" w:type="dxa"/>
            <w:tcBorders>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9"/>
              </w:rPr>
            </w:pPr>
          </w:p>
        </w:tc>
        <w:tc>
          <w:tcPr>
            <w:tcW w:w="6240" w:type="dxa"/>
            <w:tcBorders>
              <w:bottom w:val="single" w:sz="8" w:space="0" w:color="auto"/>
              <w:right w:val="single" w:sz="8" w:space="0" w:color="auto"/>
            </w:tcBorders>
            <w:shd w:val="clear" w:color="auto" w:fill="auto"/>
            <w:vAlign w:val="bottom"/>
          </w:tcPr>
          <w:p w:rsidR="006041D7" w:rsidRPr="00FC7949" w:rsidRDefault="006041D7" w:rsidP="00A11F01">
            <w:pPr>
              <w:spacing w:line="0" w:lineRule="atLeast"/>
              <w:rPr>
                <w:rFonts w:ascii="Times New Roman" w:eastAsia="Times New Roman" w:hAnsi="Times New Roman"/>
                <w:sz w:val="9"/>
              </w:rPr>
            </w:pPr>
          </w:p>
        </w:tc>
      </w:tr>
      <w:tr w:rsidR="006041D7" w:rsidRPr="00515AD2" w:rsidTr="00FC7949">
        <w:trPr>
          <w:trHeight w:val="178"/>
        </w:trPr>
        <w:tc>
          <w:tcPr>
            <w:tcW w:w="580" w:type="dxa"/>
            <w:tcBorders>
              <w:left w:val="single" w:sz="8" w:space="0" w:color="auto"/>
              <w:right w:val="single" w:sz="8" w:space="0" w:color="auto"/>
            </w:tcBorders>
            <w:shd w:val="clear" w:color="auto" w:fill="auto"/>
            <w:vAlign w:val="bottom"/>
          </w:tcPr>
          <w:p w:rsidR="006041D7" w:rsidRPr="00C77226" w:rsidRDefault="00B52D12" w:rsidP="00A11F01">
            <w:pPr>
              <w:spacing w:line="177" w:lineRule="exact"/>
              <w:ind w:left="80"/>
              <w:rPr>
                <w:rFonts w:ascii="Arial" w:eastAsia="Arial" w:hAnsi="Arial"/>
                <w:b/>
                <w:sz w:val="16"/>
              </w:rPr>
            </w:pPr>
            <w:r>
              <w:rPr>
                <w:rFonts w:ascii="Arial" w:eastAsia="Arial" w:hAnsi="Arial"/>
                <w:b/>
                <w:sz w:val="16"/>
              </w:rPr>
              <w:t>12</w:t>
            </w:r>
          </w:p>
        </w:tc>
        <w:tc>
          <w:tcPr>
            <w:tcW w:w="2840" w:type="dxa"/>
            <w:tcBorders>
              <w:right w:val="single" w:sz="8" w:space="0" w:color="auto"/>
            </w:tcBorders>
            <w:shd w:val="clear" w:color="auto" w:fill="auto"/>
            <w:vAlign w:val="bottom"/>
          </w:tcPr>
          <w:p w:rsidR="006041D7" w:rsidRPr="00C77226" w:rsidRDefault="006041D7" w:rsidP="00A11F01">
            <w:pPr>
              <w:spacing w:line="177" w:lineRule="exact"/>
              <w:ind w:left="60"/>
              <w:rPr>
                <w:rFonts w:ascii="Arial" w:eastAsia="Arial" w:hAnsi="Arial"/>
                <w:b/>
                <w:sz w:val="16"/>
              </w:rPr>
            </w:pPr>
            <w:r w:rsidRPr="00C77226">
              <w:rPr>
                <w:rFonts w:ascii="Arial" w:eastAsia="Arial" w:hAnsi="Arial"/>
                <w:b/>
                <w:sz w:val="16"/>
              </w:rPr>
              <w:t>Progettazione attualmente</w:t>
            </w:r>
          </w:p>
        </w:tc>
        <w:tc>
          <w:tcPr>
            <w:tcW w:w="6240" w:type="dxa"/>
            <w:tcBorders>
              <w:right w:val="single" w:sz="8" w:space="0" w:color="auto"/>
            </w:tcBorders>
            <w:shd w:val="clear" w:color="auto" w:fill="auto"/>
            <w:vAlign w:val="bottom"/>
          </w:tcPr>
          <w:p w:rsidR="006041D7" w:rsidRPr="00FC7949" w:rsidRDefault="006041D7" w:rsidP="00A11F01">
            <w:pPr>
              <w:spacing w:line="177" w:lineRule="exact"/>
              <w:ind w:left="60"/>
              <w:rPr>
                <w:rFonts w:ascii="Arial" w:eastAsia="Arial" w:hAnsi="Arial"/>
                <w:sz w:val="16"/>
              </w:rPr>
            </w:pPr>
            <w:r w:rsidRPr="00FC7949">
              <w:rPr>
                <w:rFonts w:ascii="Arial" w:eastAsia="Arial" w:hAnsi="Arial"/>
                <w:sz w:val="16"/>
              </w:rPr>
              <w:t>Documentazione propedeutica alla stesura del capitolato prestazionale</w:t>
            </w:r>
          </w:p>
        </w:tc>
      </w:tr>
      <w:tr w:rsidR="006041D7" w:rsidRPr="00515AD2" w:rsidTr="00FC7949">
        <w:trPr>
          <w:trHeight w:val="211"/>
        </w:trPr>
        <w:tc>
          <w:tcPr>
            <w:tcW w:w="580" w:type="dxa"/>
            <w:tcBorders>
              <w:left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8"/>
              </w:rPr>
            </w:pPr>
          </w:p>
        </w:tc>
        <w:tc>
          <w:tcPr>
            <w:tcW w:w="2840" w:type="dxa"/>
            <w:tcBorders>
              <w:right w:val="single" w:sz="8" w:space="0" w:color="auto"/>
            </w:tcBorders>
            <w:shd w:val="clear" w:color="auto" w:fill="auto"/>
            <w:vAlign w:val="bottom"/>
          </w:tcPr>
          <w:p w:rsidR="006041D7" w:rsidRPr="00C77226" w:rsidRDefault="006041D7" w:rsidP="00A11F01">
            <w:pPr>
              <w:spacing w:line="0" w:lineRule="atLeast"/>
              <w:ind w:left="60"/>
              <w:rPr>
                <w:rFonts w:ascii="Arial" w:eastAsia="Arial" w:hAnsi="Arial"/>
                <w:b/>
                <w:sz w:val="16"/>
              </w:rPr>
            </w:pPr>
            <w:r w:rsidRPr="00C77226">
              <w:rPr>
                <w:rFonts w:ascii="Arial" w:eastAsia="Arial" w:hAnsi="Arial"/>
                <w:b/>
                <w:sz w:val="16"/>
              </w:rPr>
              <w:t>disponibile</w:t>
            </w:r>
          </w:p>
        </w:tc>
        <w:tc>
          <w:tcPr>
            <w:tcW w:w="6240" w:type="dxa"/>
            <w:tcBorders>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8"/>
              </w:rPr>
            </w:pPr>
          </w:p>
        </w:tc>
      </w:tr>
      <w:tr w:rsidR="006041D7" w:rsidRPr="00515AD2" w:rsidTr="00FC7949">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0"/>
              </w:rPr>
            </w:pPr>
          </w:p>
        </w:tc>
        <w:tc>
          <w:tcPr>
            <w:tcW w:w="2840" w:type="dxa"/>
            <w:tcBorders>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0"/>
              </w:rPr>
            </w:pPr>
          </w:p>
        </w:tc>
        <w:tc>
          <w:tcPr>
            <w:tcW w:w="6240" w:type="dxa"/>
            <w:tcBorders>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0"/>
              </w:rPr>
            </w:pPr>
          </w:p>
        </w:tc>
      </w:tr>
      <w:tr w:rsidR="006041D7" w:rsidRPr="00515AD2" w:rsidTr="00FC7949">
        <w:trPr>
          <w:trHeight w:val="180"/>
        </w:trPr>
        <w:tc>
          <w:tcPr>
            <w:tcW w:w="580" w:type="dxa"/>
            <w:tcBorders>
              <w:left w:val="single" w:sz="8" w:space="0" w:color="auto"/>
              <w:right w:val="single" w:sz="8" w:space="0" w:color="auto"/>
            </w:tcBorders>
            <w:shd w:val="clear" w:color="auto" w:fill="auto"/>
            <w:vAlign w:val="bottom"/>
          </w:tcPr>
          <w:p w:rsidR="006041D7" w:rsidRPr="00C77226" w:rsidRDefault="00B52D12" w:rsidP="00A11F01">
            <w:pPr>
              <w:spacing w:line="179" w:lineRule="exact"/>
              <w:ind w:left="80"/>
              <w:rPr>
                <w:rFonts w:ascii="Arial" w:eastAsia="Arial" w:hAnsi="Arial"/>
                <w:b/>
                <w:sz w:val="16"/>
              </w:rPr>
            </w:pPr>
            <w:r>
              <w:rPr>
                <w:rFonts w:ascii="Arial" w:eastAsia="Arial" w:hAnsi="Arial"/>
                <w:b/>
                <w:sz w:val="16"/>
              </w:rPr>
              <w:lastRenderedPageBreak/>
              <w:t>13</w:t>
            </w:r>
          </w:p>
        </w:tc>
        <w:tc>
          <w:tcPr>
            <w:tcW w:w="2840" w:type="dxa"/>
            <w:tcBorders>
              <w:right w:val="single" w:sz="8" w:space="0" w:color="auto"/>
            </w:tcBorders>
            <w:shd w:val="clear" w:color="auto" w:fill="auto"/>
            <w:vAlign w:val="bottom"/>
          </w:tcPr>
          <w:p w:rsidR="006041D7" w:rsidRPr="00C77226" w:rsidRDefault="006041D7" w:rsidP="00A11F01">
            <w:pPr>
              <w:spacing w:line="179" w:lineRule="exact"/>
              <w:ind w:left="60"/>
              <w:rPr>
                <w:rFonts w:ascii="Arial" w:eastAsia="Arial" w:hAnsi="Arial"/>
                <w:b/>
                <w:sz w:val="16"/>
              </w:rPr>
            </w:pPr>
            <w:r w:rsidRPr="00C77226">
              <w:rPr>
                <w:rFonts w:ascii="Arial" w:eastAsia="Arial" w:hAnsi="Arial"/>
                <w:b/>
                <w:sz w:val="16"/>
              </w:rPr>
              <w:t>Soggetto attuatore</w:t>
            </w:r>
          </w:p>
        </w:tc>
        <w:tc>
          <w:tcPr>
            <w:tcW w:w="6240" w:type="dxa"/>
            <w:tcBorders>
              <w:right w:val="single" w:sz="8" w:space="0" w:color="auto"/>
            </w:tcBorders>
            <w:shd w:val="clear" w:color="auto" w:fill="auto"/>
            <w:vAlign w:val="bottom"/>
          </w:tcPr>
          <w:p w:rsidR="006041D7" w:rsidRPr="00C77226" w:rsidRDefault="006041D7" w:rsidP="003169B1">
            <w:pPr>
              <w:snapToGrid w:val="0"/>
              <w:rPr>
                <w:rFonts w:cs="Calibri"/>
                <w:i/>
              </w:rPr>
            </w:pPr>
            <w:r w:rsidRPr="00C77226">
              <w:rPr>
                <w:rFonts w:cs="Calibri"/>
                <w:i/>
              </w:rPr>
              <w:t>Comune capofila (Comune di Norcia)</w:t>
            </w:r>
          </w:p>
        </w:tc>
      </w:tr>
      <w:tr w:rsidR="006041D7" w:rsidRPr="00515AD2" w:rsidTr="00FC7949">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2"/>
              </w:rPr>
            </w:pPr>
          </w:p>
        </w:tc>
        <w:tc>
          <w:tcPr>
            <w:tcW w:w="2840" w:type="dxa"/>
            <w:tcBorders>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2"/>
              </w:rPr>
            </w:pPr>
          </w:p>
        </w:tc>
        <w:tc>
          <w:tcPr>
            <w:tcW w:w="6240" w:type="dxa"/>
            <w:tcBorders>
              <w:bottom w:val="single" w:sz="8" w:space="0" w:color="auto"/>
              <w:right w:val="single" w:sz="8" w:space="0" w:color="auto"/>
            </w:tcBorders>
            <w:shd w:val="clear" w:color="auto" w:fill="auto"/>
            <w:vAlign w:val="bottom"/>
          </w:tcPr>
          <w:p w:rsidR="006041D7" w:rsidRPr="00C77226" w:rsidRDefault="006041D7" w:rsidP="00A11F01">
            <w:pPr>
              <w:spacing w:line="0" w:lineRule="atLeast"/>
              <w:rPr>
                <w:rFonts w:ascii="Times New Roman" w:eastAsia="Times New Roman" w:hAnsi="Times New Roman"/>
                <w:sz w:val="12"/>
              </w:rPr>
            </w:pPr>
          </w:p>
        </w:tc>
      </w:tr>
      <w:tr w:rsidR="006041D7" w:rsidRPr="00515AD2" w:rsidTr="00FC7949">
        <w:trPr>
          <w:trHeight w:val="180"/>
        </w:trPr>
        <w:tc>
          <w:tcPr>
            <w:tcW w:w="580" w:type="dxa"/>
            <w:tcBorders>
              <w:left w:val="single" w:sz="8" w:space="0" w:color="auto"/>
              <w:right w:val="single" w:sz="8" w:space="0" w:color="auto"/>
            </w:tcBorders>
            <w:shd w:val="clear" w:color="auto" w:fill="auto"/>
            <w:vAlign w:val="bottom"/>
          </w:tcPr>
          <w:p w:rsidR="006041D7" w:rsidRPr="00C77226" w:rsidRDefault="00B52D12" w:rsidP="00A11F01">
            <w:pPr>
              <w:spacing w:line="179" w:lineRule="exact"/>
              <w:ind w:left="80"/>
              <w:rPr>
                <w:rFonts w:ascii="Arial" w:eastAsia="Arial" w:hAnsi="Arial"/>
                <w:b/>
                <w:sz w:val="16"/>
              </w:rPr>
            </w:pPr>
            <w:r>
              <w:rPr>
                <w:rFonts w:ascii="Arial" w:eastAsia="Arial" w:hAnsi="Arial"/>
                <w:b/>
                <w:sz w:val="16"/>
              </w:rPr>
              <w:t>14</w:t>
            </w:r>
          </w:p>
        </w:tc>
        <w:tc>
          <w:tcPr>
            <w:tcW w:w="2840" w:type="dxa"/>
            <w:tcBorders>
              <w:right w:val="single" w:sz="8" w:space="0" w:color="auto"/>
            </w:tcBorders>
            <w:shd w:val="clear" w:color="auto" w:fill="auto"/>
            <w:vAlign w:val="bottom"/>
          </w:tcPr>
          <w:p w:rsidR="006041D7" w:rsidRPr="00C77226" w:rsidRDefault="006041D7" w:rsidP="00A11F01">
            <w:pPr>
              <w:spacing w:line="179" w:lineRule="exact"/>
              <w:ind w:left="60"/>
              <w:rPr>
                <w:rFonts w:ascii="Arial" w:eastAsia="Arial" w:hAnsi="Arial"/>
                <w:b/>
                <w:sz w:val="16"/>
              </w:rPr>
            </w:pPr>
            <w:r w:rsidRPr="00C77226">
              <w:rPr>
                <w:rFonts w:ascii="Arial" w:eastAsia="Arial" w:hAnsi="Arial"/>
                <w:b/>
                <w:sz w:val="16"/>
              </w:rPr>
              <w:t>Responsabile dell'Attuazione/RUP</w:t>
            </w:r>
          </w:p>
        </w:tc>
        <w:tc>
          <w:tcPr>
            <w:tcW w:w="6240" w:type="dxa"/>
            <w:tcBorders>
              <w:right w:val="single" w:sz="8" w:space="0" w:color="auto"/>
            </w:tcBorders>
            <w:shd w:val="clear" w:color="auto" w:fill="auto"/>
            <w:vAlign w:val="bottom"/>
          </w:tcPr>
          <w:p w:rsidR="006041D7" w:rsidRPr="00C77226" w:rsidRDefault="0023672D" w:rsidP="00EB55A2">
            <w:pPr>
              <w:spacing w:line="179" w:lineRule="exact"/>
              <w:ind w:left="-18"/>
              <w:jc w:val="both"/>
              <w:rPr>
                <w:rFonts w:ascii="Arial" w:eastAsia="Arial" w:hAnsi="Arial"/>
                <w:b/>
                <w:sz w:val="16"/>
              </w:rPr>
            </w:pPr>
            <w:r>
              <w:rPr>
                <w:rFonts w:cs="Calibri"/>
                <w:i/>
              </w:rPr>
              <w:t>Sandro Sabatini</w:t>
            </w:r>
            <w:r w:rsidR="001F155D">
              <w:rPr>
                <w:rFonts w:cs="Calibri"/>
                <w:i/>
              </w:rPr>
              <w:t xml:space="preserve"> – Responsabile Ufficio Aree Interne</w:t>
            </w:r>
          </w:p>
        </w:tc>
      </w:tr>
      <w:tr w:rsidR="006041D7" w:rsidRPr="00515AD2" w:rsidTr="00FC7949">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6041D7" w:rsidRPr="00515AD2" w:rsidRDefault="006041D7" w:rsidP="00A11F01">
            <w:pPr>
              <w:spacing w:line="0" w:lineRule="atLeast"/>
              <w:rPr>
                <w:rFonts w:ascii="Times New Roman" w:eastAsia="Times New Roman" w:hAnsi="Times New Roman"/>
                <w:sz w:val="12"/>
                <w:highlight w:val="yellow"/>
              </w:rPr>
            </w:pPr>
          </w:p>
        </w:tc>
        <w:tc>
          <w:tcPr>
            <w:tcW w:w="2840" w:type="dxa"/>
            <w:tcBorders>
              <w:bottom w:val="single" w:sz="8" w:space="0" w:color="auto"/>
              <w:right w:val="single" w:sz="8" w:space="0" w:color="auto"/>
            </w:tcBorders>
            <w:shd w:val="clear" w:color="auto" w:fill="auto"/>
            <w:vAlign w:val="bottom"/>
          </w:tcPr>
          <w:p w:rsidR="006041D7" w:rsidRPr="00515AD2" w:rsidRDefault="006041D7" w:rsidP="00A11F01">
            <w:pPr>
              <w:spacing w:line="0" w:lineRule="atLeast"/>
              <w:rPr>
                <w:rFonts w:ascii="Times New Roman" w:eastAsia="Times New Roman" w:hAnsi="Times New Roman"/>
                <w:sz w:val="12"/>
                <w:highlight w:val="yellow"/>
              </w:rPr>
            </w:pPr>
          </w:p>
        </w:tc>
        <w:tc>
          <w:tcPr>
            <w:tcW w:w="6240" w:type="dxa"/>
            <w:tcBorders>
              <w:bottom w:val="single" w:sz="8" w:space="0" w:color="auto"/>
              <w:right w:val="single" w:sz="8" w:space="0" w:color="auto"/>
            </w:tcBorders>
            <w:shd w:val="clear" w:color="auto" w:fill="auto"/>
            <w:vAlign w:val="bottom"/>
          </w:tcPr>
          <w:p w:rsidR="006041D7" w:rsidRPr="00515AD2" w:rsidRDefault="006041D7" w:rsidP="00A11F01">
            <w:pPr>
              <w:spacing w:line="0" w:lineRule="atLeast"/>
              <w:rPr>
                <w:rFonts w:ascii="Times New Roman" w:eastAsia="Times New Roman" w:hAnsi="Times New Roman"/>
                <w:sz w:val="12"/>
                <w:highlight w:val="yellow"/>
              </w:rPr>
            </w:pPr>
          </w:p>
        </w:tc>
      </w:tr>
    </w:tbl>
    <w:p w:rsidR="00D60AD8" w:rsidRPr="00515AD2" w:rsidRDefault="00D60AD8" w:rsidP="00BF488D">
      <w:pPr>
        <w:spacing w:line="232" w:lineRule="auto"/>
        <w:ind w:left="3860"/>
        <w:rPr>
          <w:rFonts w:ascii="Arial" w:eastAsia="Arial" w:hAnsi="Arial"/>
          <w:b/>
          <w:sz w:val="22"/>
          <w:highlight w:val="yellow"/>
        </w:rPr>
      </w:pPr>
    </w:p>
    <w:p w:rsidR="00BF488D" w:rsidRPr="00C77226" w:rsidRDefault="00BF488D" w:rsidP="00BF488D">
      <w:pPr>
        <w:spacing w:line="232" w:lineRule="auto"/>
        <w:ind w:left="3860"/>
        <w:rPr>
          <w:rFonts w:ascii="Arial" w:eastAsia="Arial" w:hAnsi="Arial"/>
          <w:b/>
          <w:sz w:val="22"/>
        </w:rPr>
      </w:pPr>
      <w:r w:rsidRPr="00C77226">
        <w:rPr>
          <w:rFonts w:ascii="Arial" w:eastAsia="Arial" w:hAnsi="Arial"/>
          <w:b/>
          <w:sz w:val="22"/>
        </w:rPr>
        <w:t>Tipologie di spesa</w:t>
      </w:r>
    </w:p>
    <w:p w:rsidR="00BF488D" w:rsidRPr="00C77226" w:rsidRDefault="00BF488D" w:rsidP="00BF488D">
      <w:pPr>
        <w:spacing w:line="343" w:lineRule="exact"/>
        <w:rPr>
          <w:rFonts w:ascii="Times New Roman" w:eastAsia="Times New Roman" w:hAnsi="Times New Roman"/>
        </w:rPr>
      </w:pPr>
    </w:p>
    <w:tbl>
      <w:tblPr>
        <w:tblW w:w="9660" w:type="dxa"/>
        <w:tblInd w:w="10" w:type="dxa"/>
        <w:tblLayout w:type="fixed"/>
        <w:tblCellMar>
          <w:left w:w="0" w:type="dxa"/>
          <w:right w:w="0" w:type="dxa"/>
        </w:tblCellMar>
        <w:tblLook w:val="0000" w:firstRow="0" w:lastRow="0" w:firstColumn="0" w:lastColumn="0" w:noHBand="0" w:noVBand="0"/>
      </w:tblPr>
      <w:tblGrid>
        <w:gridCol w:w="3300"/>
        <w:gridCol w:w="120"/>
        <w:gridCol w:w="3951"/>
        <w:gridCol w:w="29"/>
        <w:gridCol w:w="2260"/>
      </w:tblGrid>
      <w:tr w:rsidR="00BF488D" w:rsidRPr="00C77226" w:rsidTr="005E65DF">
        <w:trPr>
          <w:trHeight w:val="238"/>
        </w:trPr>
        <w:tc>
          <w:tcPr>
            <w:tcW w:w="3420" w:type="dxa"/>
            <w:gridSpan w:val="2"/>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C77226" w:rsidRDefault="00BF488D" w:rsidP="00A11F01">
            <w:pPr>
              <w:spacing w:line="183" w:lineRule="exact"/>
              <w:ind w:left="20"/>
              <w:rPr>
                <w:rFonts w:ascii="Arial" w:eastAsia="Arial" w:hAnsi="Arial"/>
                <w:b/>
                <w:sz w:val="16"/>
              </w:rPr>
            </w:pPr>
            <w:r w:rsidRPr="00C77226">
              <w:rPr>
                <w:rFonts w:ascii="Arial" w:eastAsia="Arial" w:hAnsi="Arial"/>
                <w:b/>
                <w:sz w:val="16"/>
              </w:rPr>
              <w:t>Voci di spesa</w:t>
            </w:r>
          </w:p>
        </w:tc>
        <w:tc>
          <w:tcPr>
            <w:tcW w:w="3951" w:type="dxa"/>
            <w:tcBorders>
              <w:top w:val="single" w:sz="8" w:space="0" w:color="auto"/>
              <w:bottom w:val="single" w:sz="8" w:space="0" w:color="808080"/>
              <w:right w:val="single" w:sz="8" w:space="0" w:color="auto"/>
            </w:tcBorders>
            <w:shd w:val="clear" w:color="auto" w:fill="808080"/>
            <w:vAlign w:val="bottom"/>
          </w:tcPr>
          <w:p w:rsidR="00BF488D" w:rsidRPr="00C77226" w:rsidRDefault="00BF488D" w:rsidP="00A11F01">
            <w:pPr>
              <w:spacing w:line="183" w:lineRule="exact"/>
              <w:ind w:right="2980"/>
              <w:jc w:val="right"/>
              <w:rPr>
                <w:rFonts w:ascii="Arial" w:eastAsia="Arial" w:hAnsi="Arial"/>
                <w:b/>
                <w:w w:val="97"/>
                <w:sz w:val="16"/>
              </w:rPr>
            </w:pPr>
            <w:r w:rsidRPr="00C77226">
              <w:rPr>
                <w:rFonts w:ascii="Arial" w:eastAsia="Arial" w:hAnsi="Arial"/>
                <w:b/>
                <w:w w:val="97"/>
                <w:sz w:val="16"/>
              </w:rPr>
              <w:t>Descrizione</w:t>
            </w:r>
          </w:p>
        </w:tc>
        <w:tc>
          <w:tcPr>
            <w:tcW w:w="2289" w:type="dxa"/>
            <w:gridSpan w:val="2"/>
            <w:tcBorders>
              <w:top w:val="single" w:sz="8" w:space="0" w:color="auto"/>
              <w:bottom w:val="single" w:sz="8" w:space="0" w:color="808080"/>
              <w:right w:val="single" w:sz="8" w:space="0" w:color="auto"/>
            </w:tcBorders>
            <w:shd w:val="clear" w:color="auto" w:fill="808080"/>
            <w:vAlign w:val="bottom"/>
          </w:tcPr>
          <w:p w:rsidR="00BF488D" w:rsidRPr="00C77226" w:rsidRDefault="00BF488D" w:rsidP="00A11F01">
            <w:pPr>
              <w:spacing w:line="183" w:lineRule="exact"/>
              <w:ind w:right="1700"/>
              <w:jc w:val="right"/>
              <w:rPr>
                <w:rFonts w:ascii="Arial" w:eastAsia="Arial" w:hAnsi="Arial"/>
                <w:b/>
                <w:w w:val="99"/>
                <w:sz w:val="16"/>
              </w:rPr>
            </w:pPr>
            <w:r w:rsidRPr="00C77226">
              <w:rPr>
                <w:rFonts w:ascii="Arial" w:eastAsia="Arial" w:hAnsi="Arial"/>
                <w:b/>
                <w:w w:val="99"/>
                <w:sz w:val="16"/>
              </w:rPr>
              <w:t>Valuta</w:t>
            </w:r>
          </w:p>
        </w:tc>
      </w:tr>
      <w:tr w:rsidR="00C77226" w:rsidRPr="00C77226" w:rsidTr="00D60AD8">
        <w:trPr>
          <w:trHeight w:val="178"/>
        </w:trPr>
        <w:tc>
          <w:tcPr>
            <w:tcW w:w="3300" w:type="dxa"/>
            <w:tcBorders>
              <w:left w:val="single" w:sz="8" w:space="0" w:color="auto"/>
            </w:tcBorders>
            <w:shd w:val="clear" w:color="auto" w:fill="auto"/>
          </w:tcPr>
          <w:p w:rsidR="00C77226" w:rsidRPr="00FC7949" w:rsidRDefault="00C77226" w:rsidP="00C77226">
            <w:pPr>
              <w:spacing w:line="177" w:lineRule="exact"/>
              <w:ind w:left="20"/>
              <w:rPr>
                <w:rFonts w:ascii="Arial" w:eastAsia="Arial" w:hAnsi="Arial"/>
                <w:b/>
                <w:sz w:val="16"/>
              </w:rPr>
            </w:pPr>
            <w:r w:rsidRPr="00FC7949">
              <w:rPr>
                <w:rFonts w:ascii="Arial" w:eastAsia="Arial" w:hAnsi="Arial"/>
                <w:b/>
                <w:sz w:val="16"/>
              </w:rPr>
              <w:t>Acquisto beni/forniture</w:t>
            </w:r>
          </w:p>
        </w:tc>
        <w:tc>
          <w:tcPr>
            <w:tcW w:w="120" w:type="dxa"/>
            <w:tcBorders>
              <w:right w:val="single" w:sz="8" w:space="0" w:color="auto"/>
            </w:tcBorders>
            <w:shd w:val="clear" w:color="auto" w:fill="auto"/>
            <w:vAlign w:val="bottom"/>
          </w:tcPr>
          <w:p w:rsidR="00C77226" w:rsidRPr="00FC7949" w:rsidRDefault="00C77226" w:rsidP="00C77226">
            <w:pPr>
              <w:spacing w:line="0" w:lineRule="atLeast"/>
              <w:rPr>
                <w:rFonts w:ascii="Times New Roman" w:eastAsia="Times New Roman" w:hAnsi="Times New Roman"/>
                <w:sz w:val="15"/>
              </w:rPr>
            </w:pPr>
          </w:p>
        </w:tc>
        <w:tc>
          <w:tcPr>
            <w:tcW w:w="3980" w:type="dxa"/>
            <w:gridSpan w:val="2"/>
            <w:tcBorders>
              <w:right w:val="single" w:sz="8" w:space="0" w:color="auto"/>
            </w:tcBorders>
            <w:shd w:val="clear" w:color="auto" w:fill="auto"/>
          </w:tcPr>
          <w:tbl>
            <w:tblPr>
              <w:tblW w:w="9690" w:type="dxa"/>
              <w:tblInd w:w="10" w:type="dxa"/>
              <w:tblLayout w:type="fixed"/>
              <w:tblCellMar>
                <w:left w:w="0" w:type="dxa"/>
                <w:right w:w="0" w:type="dxa"/>
              </w:tblCellMar>
              <w:tblLook w:val="0000" w:firstRow="0" w:lastRow="0" w:firstColumn="0" w:lastColumn="0" w:noHBand="0" w:noVBand="0"/>
            </w:tblPr>
            <w:tblGrid>
              <w:gridCol w:w="6180"/>
              <w:gridCol w:w="3510"/>
            </w:tblGrid>
            <w:tr w:rsidR="00C77226" w:rsidRPr="00FC7949" w:rsidTr="00E14556">
              <w:trPr>
                <w:trHeight w:val="178"/>
              </w:trPr>
              <w:tc>
                <w:tcPr>
                  <w:tcW w:w="3980" w:type="dxa"/>
                  <w:tcBorders>
                    <w:right w:val="single" w:sz="8" w:space="0" w:color="auto"/>
                  </w:tcBorders>
                  <w:shd w:val="clear" w:color="auto" w:fill="auto"/>
                  <w:vAlign w:val="bottom"/>
                </w:tcPr>
                <w:p w:rsidR="00C77226" w:rsidRPr="00FC7949" w:rsidRDefault="00C77226" w:rsidP="00C77226">
                  <w:pPr>
                    <w:pStyle w:val="Default"/>
                    <w:rPr>
                      <w:rFonts w:asciiTheme="minorHAnsi" w:hAnsiTheme="minorHAnsi"/>
                      <w:sz w:val="20"/>
                      <w:szCs w:val="20"/>
                    </w:rPr>
                  </w:pPr>
                  <w:r w:rsidRPr="00FC7949">
                    <w:rPr>
                      <w:rFonts w:asciiTheme="minorHAnsi" w:hAnsiTheme="minorHAnsi"/>
                      <w:sz w:val="20"/>
                      <w:szCs w:val="20"/>
                    </w:rPr>
                    <w:t xml:space="preserve">Acquisto di 14 mezzi - Euro </w:t>
                  </w:r>
                  <w:r w:rsidR="00113BBD" w:rsidRPr="00FC7949">
                    <w:rPr>
                      <w:rFonts w:asciiTheme="minorHAnsi" w:hAnsiTheme="minorHAnsi"/>
                      <w:sz w:val="20"/>
                      <w:szCs w:val="20"/>
                    </w:rPr>
                    <w:t>4</w:t>
                  </w:r>
                  <w:r w:rsidR="00985673" w:rsidRPr="00FC7949">
                    <w:rPr>
                      <w:rFonts w:asciiTheme="minorHAnsi" w:hAnsiTheme="minorHAnsi"/>
                      <w:sz w:val="20"/>
                      <w:szCs w:val="20"/>
                    </w:rPr>
                    <w:t>.000,00</w:t>
                  </w:r>
                </w:p>
                <w:p w:rsidR="00C77226" w:rsidRPr="00FC7949" w:rsidRDefault="00C77226" w:rsidP="00C77226">
                  <w:pPr>
                    <w:pStyle w:val="Default"/>
                    <w:rPr>
                      <w:rFonts w:asciiTheme="minorHAnsi" w:hAnsiTheme="minorHAnsi"/>
                      <w:sz w:val="20"/>
                      <w:szCs w:val="20"/>
                    </w:rPr>
                  </w:pPr>
                  <w:r w:rsidRPr="00FC7949">
                    <w:rPr>
                      <w:rFonts w:asciiTheme="minorHAnsi" w:hAnsiTheme="minorHAnsi"/>
                      <w:sz w:val="20"/>
                      <w:szCs w:val="20"/>
                    </w:rPr>
                    <w:t xml:space="preserve">per ciascun mezzo. </w:t>
                  </w:r>
                </w:p>
                <w:p w:rsidR="00C77226" w:rsidRPr="00FC7949" w:rsidRDefault="00C77226" w:rsidP="00C77226">
                  <w:pPr>
                    <w:pStyle w:val="Default"/>
                    <w:rPr>
                      <w:rFonts w:asciiTheme="minorHAnsi" w:hAnsiTheme="minorHAnsi"/>
                      <w:sz w:val="20"/>
                      <w:szCs w:val="20"/>
                    </w:rPr>
                  </w:pPr>
                </w:p>
                <w:p w:rsidR="00C77226" w:rsidRPr="00FC7949" w:rsidRDefault="00C77226" w:rsidP="00C77226">
                  <w:pPr>
                    <w:pStyle w:val="Default"/>
                    <w:rPr>
                      <w:rFonts w:asciiTheme="minorHAnsi" w:hAnsiTheme="minorHAnsi"/>
                      <w:sz w:val="20"/>
                      <w:szCs w:val="20"/>
                    </w:rPr>
                  </w:pPr>
                  <w:r w:rsidRPr="00FC7949">
                    <w:rPr>
                      <w:rFonts w:asciiTheme="minorHAnsi" w:hAnsiTheme="minorHAnsi"/>
                      <w:sz w:val="20"/>
                      <w:szCs w:val="20"/>
                    </w:rPr>
                    <w:t xml:space="preserve"> </w:t>
                  </w:r>
                </w:p>
                <w:p w:rsidR="00C77226" w:rsidRPr="00FC7949" w:rsidRDefault="00C77226" w:rsidP="00C77226">
                  <w:pPr>
                    <w:pStyle w:val="Default"/>
                    <w:rPr>
                      <w:rFonts w:asciiTheme="minorHAnsi" w:hAnsiTheme="minorHAnsi"/>
                      <w:sz w:val="20"/>
                      <w:szCs w:val="20"/>
                    </w:rPr>
                  </w:pPr>
                </w:p>
              </w:tc>
              <w:tc>
                <w:tcPr>
                  <w:tcW w:w="2260" w:type="dxa"/>
                  <w:tcBorders>
                    <w:right w:val="single" w:sz="8" w:space="0" w:color="auto"/>
                  </w:tcBorders>
                  <w:shd w:val="clear" w:color="auto" w:fill="auto"/>
                  <w:vAlign w:val="bottom"/>
                </w:tcPr>
                <w:p w:rsidR="00C77226" w:rsidRPr="00FC7949" w:rsidRDefault="00C77226" w:rsidP="00C77226">
                  <w:pPr>
                    <w:pStyle w:val="Default"/>
                    <w:jc w:val="center"/>
                    <w:rPr>
                      <w:rFonts w:asciiTheme="minorHAnsi" w:hAnsiTheme="minorHAnsi"/>
                      <w:sz w:val="20"/>
                      <w:szCs w:val="20"/>
                    </w:rPr>
                  </w:pPr>
                  <w:r w:rsidRPr="00FC7949">
                    <w:rPr>
                      <w:rFonts w:asciiTheme="minorHAnsi" w:hAnsiTheme="minorHAnsi"/>
                      <w:sz w:val="20"/>
                      <w:szCs w:val="20"/>
                    </w:rPr>
                    <w:t>Euro 350.000,00</w:t>
                  </w:r>
                </w:p>
                <w:p w:rsidR="00C77226" w:rsidRPr="00FC7949" w:rsidRDefault="00C77226" w:rsidP="00C77226">
                  <w:pPr>
                    <w:spacing w:line="179" w:lineRule="exact"/>
                    <w:ind w:right="60"/>
                    <w:jc w:val="right"/>
                    <w:rPr>
                      <w:rFonts w:asciiTheme="minorHAnsi" w:eastAsia="Arial" w:hAnsiTheme="minorHAnsi"/>
                      <w:b/>
                    </w:rPr>
                  </w:pPr>
                </w:p>
              </w:tc>
            </w:tr>
          </w:tbl>
          <w:p w:rsidR="00C77226" w:rsidRPr="00FC7949" w:rsidRDefault="00C77226" w:rsidP="00C77226"/>
        </w:tc>
        <w:tc>
          <w:tcPr>
            <w:tcW w:w="2260" w:type="dxa"/>
            <w:tcBorders>
              <w:right w:val="single" w:sz="8" w:space="0" w:color="auto"/>
            </w:tcBorders>
            <w:shd w:val="clear" w:color="auto" w:fill="auto"/>
          </w:tcPr>
          <w:p w:rsidR="00C77226" w:rsidRPr="00FC7949" w:rsidRDefault="00C77226" w:rsidP="00C77226"/>
          <w:p w:rsidR="00985673" w:rsidRPr="00FC7949" w:rsidRDefault="00FC7949" w:rsidP="00C77226">
            <w:pPr>
              <w:jc w:val="center"/>
            </w:pPr>
            <w:r w:rsidRPr="00FC7949">
              <w:t>5</w:t>
            </w:r>
            <w:r w:rsidR="00113BBD" w:rsidRPr="00FC7949">
              <w:t>6</w:t>
            </w:r>
            <w:r w:rsidR="00985673" w:rsidRPr="00FC7949">
              <w:t>.000,00</w:t>
            </w:r>
          </w:p>
        </w:tc>
      </w:tr>
      <w:tr w:rsidR="00BF488D" w:rsidRPr="00C77226" w:rsidTr="00D60AD8">
        <w:trPr>
          <w:trHeight w:val="53"/>
        </w:trPr>
        <w:tc>
          <w:tcPr>
            <w:tcW w:w="3300" w:type="dxa"/>
            <w:tcBorders>
              <w:left w:val="single" w:sz="8" w:space="0" w:color="auto"/>
              <w:bottom w:val="single" w:sz="8" w:space="0" w:color="auto"/>
            </w:tcBorders>
            <w:shd w:val="clear" w:color="auto" w:fill="auto"/>
            <w:vAlign w:val="bottom"/>
          </w:tcPr>
          <w:p w:rsidR="00BF488D" w:rsidRPr="00FC7949" w:rsidRDefault="00BF488D" w:rsidP="00A11F01">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BF488D" w:rsidRPr="00FC7949" w:rsidRDefault="00BF488D" w:rsidP="00A11F01">
            <w:pPr>
              <w:spacing w:line="0" w:lineRule="atLeast"/>
              <w:rPr>
                <w:rFonts w:ascii="Times New Roman" w:eastAsia="Times New Roman" w:hAnsi="Times New Roman"/>
                <w:sz w:val="10"/>
              </w:rPr>
            </w:pPr>
          </w:p>
        </w:tc>
        <w:tc>
          <w:tcPr>
            <w:tcW w:w="3980" w:type="dxa"/>
            <w:gridSpan w:val="2"/>
            <w:tcBorders>
              <w:bottom w:val="single" w:sz="8" w:space="0" w:color="auto"/>
              <w:right w:val="single" w:sz="8" w:space="0" w:color="auto"/>
            </w:tcBorders>
            <w:shd w:val="clear" w:color="auto" w:fill="auto"/>
            <w:vAlign w:val="bottom"/>
          </w:tcPr>
          <w:p w:rsidR="00BF488D" w:rsidRPr="00FC7949" w:rsidRDefault="00BF488D" w:rsidP="00A11F01">
            <w:pPr>
              <w:spacing w:line="0" w:lineRule="atLeast"/>
              <w:rPr>
                <w:rFonts w:ascii="Times New Roman" w:eastAsia="Times New Roman" w:hAnsi="Times New Roman"/>
                <w:sz w:val="10"/>
              </w:rPr>
            </w:pPr>
          </w:p>
        </w:tc>
        <w:tc>
          <w:tcPr>
            <w:tcW w:w="2260" w:type="dxa"/>
            <w:tcBorders>
              <w:bottom w:val="single" w:sz="8" w:space="0" w:color="auto"/>
              <w:right w:val="single" w:sz="8" w:space="0" w:color="auto"/>
            </w:tcBorders>
            <w:shd w:val="clear" w:color="auto" w:fill="auto"/>
            <w:vAlign w:val="bottom"/>
          </w:tcPr>
          <w:p w:rsidR="00BF488D" w:rsidRPr="00FC7949" w:rsidRDefault="00BF488D" w:rsidP="00A11F01">
            <w:pPr>
              <w:spacing w:line="0" w:lineRule="atLeast"/>
              <w:rPr>
                <w:rFonts w:ascii="Times New Roman" w:eastAsia="Times New Roman" w:hAnsi="Times New Roman"/>
                <w:sz w:val="10"/>
              </w:rPr>
            </w:pPr>
          </w:p>
        </w:tc>
      </w:tr>
      <w:tr w:rsidR="00BF488D" w:rsidRPr="00C77226" w:rsidTr="003169B1">
        <w:trPr>
          <w:trHeight w:val="178"/>
        </w:trPr>
        <w:tc>
          <w:tcPr>
            <w:tcW w:w="3300" w:type="dxa"/>
            <w:tcBorders>
              <w:left w:val="single" w:sz="8" w:space="0" w:color="auto"/>
            </w:tcBorders>
            <w:shd w:val="clear" w:color="auto" w:fill="auto"/>
            <w:vAlign w:val="bottom"/>
          </w:tcPr>
          <w:p w:rsidR="00BF488D" w:rsidRPr="00FC7949" w:rsidRDefault="00EA711C" w:rsidP="00A11F01">
            <w:pPr>
              <w:spacing w:line="177" w:lineRule="exact"/>
              <w:ind w:left="20"/>
              <w:rPr>
                <w:rFonts w:ascii="Arial" w:eastAsia="Arial" w:hAnsi="Arial"/>
                <w:b/>
                <w:sz w:val="16"/>
              </w:rPr>
            </w:pPr>
            <w:r w:rsidRPr="00FC7949">
              <w:rPr>
                <w:rFonts w:ascii="Arial" w:eastAsia="Arial" w:hAnsi="Arial"/>
                <w:b/>
                <w:sz w:val="16"/>
              </w:rPr>
              <w:t>Stipulazione convenzione</w:t>
            </w:r>
          </w:p>
        </w:tc>
        <w:tc>
          <w:tcPr>
            <w:tcW w:w="120" w:type="dxa"/>
            <w:tcBorders>
              <w:right w:val="single" w:sz="8" w:space="0" w:color="auto"/>
            </w:tcBorders>
            <w:shd w:val="clear" w:color="auto" w:fill="auto"/>
            <w:vAlign w:val="bottom"/>
          </w:tcPr>
          <w:p w:rsidR="00BF488D" w:rsidRPr="00FC7949" w:rsidRDefault="00BF488D" w:rsidP="00A11F01">
            <w:pPr>
              <w:spacing w:line="0" w:lineRule="atLeast"/>
              <w:rPr>
                <w:rFonts w:ascii="Times New Roman" w:eastAsia="Times New Roman" w:hAnsi="Times New Roman"/>
                <w:sz w:val="15"/>
              </w:rPr>
            </w:pPr>
          </w:p>
        </w:tc>
        <w:tc>
          <w:tcPr>
            <w:tcW w:w="3980" w:type="dxa"/>
            <w:gridSpan w:val="2"/>
            <w:tcBorders>
              <w:right w:val="single" w:sz="8" w:space="0" w:color="auto"/>
            </w:tcBorders>
            <w:shd w:val="clear" w:color="auto" w:fill="auto"/>
            <w:vAlign w:val="bottom"/>
          </w:tcPr>
          <w:p w:rsidR="00BF488D" w:rsidRPr="00FC7949" w:rsidRDefault="00EA711C" w:rsidP="00A11F01">
            <w:pPr>
              <w:spacing w:line="177" w:lineRule="exact"/>
              <w:rPr>
                <w:rFonts w:ascii="Arial" w:eastAsia="Arial" w:hAnsi="Arial"/>
                <w:sz w:val="16"/>
              </w:rPr>
            </w:pPr>
            <w:r w:rsidRPr="00FC7949">
              <w:rPr>
                <w:rFonts w:ascii="Arial" w:eastAsia="Arial" w:hAnsi="Arial"/>
                <w:sz w:val="16"/>
              </w:rPr>
              <w:t xml:space="preserve">Oneri assicurativi </w:t>
            </w:r>
            <w:r w:rsidR="00113BBD" w:rsidRPr="00FC7949">
              <w:rPr>
                <w:rFonts w:ascii="Arial" w:eastAsia="Arial" w:hAnsi="Arial"/>
                <w:sz w:val="16"/>
              </w:rPr>
              <w:t>e rimborso spese servizio per 12</w:t>
            </w:r>
            <w:r w:rsidRPr="00FC7949">
              <w:rPr>
                <w:rFonts w:ascii="Arial" w:eastAsia="Arial" w:hAnsi="Arial"/>
                <w:sz w:val="16"/>
              </w:rPr>
              <w:t xml:space="preserve"> mesi di durata della convenzione</w:t>
            </w:r>
          </w:p>
        </w:tc>
        <w:tc>
          <w:tcPr>
            <w:tcW w:w="2260" w:type="dxa"/>
            <w:tcBorders>
              <w:right w:val="single" w:sz="8" w:space="0" w:color="auto"/>
            </w:tcBorders>
            <w:shd w:val="clear" w:color="auto" w:fill="auto"/>
            <w:vAlign w:val="bottom"/>
          </w:tcPr>
          <w:p w:rsidR="00BF488D" w:rsidRPr="00FC7949" w:rsidRDefault="00113BBD" w:rsidP="00EA711C">
            <w:pPr>
              <w:spacing w:line="177" w:lineRule="exact"/>
              <w:ind w:right="60"/>
              <w:jc w:val="center"/>
              <w:rPr>
                <w:rFonts w:ascii="Arial" w:eastAsia="Arial" w:hAnsi="Arial"/>
                <w:sz w:val="16"/>
              </w:rPr>
            </w:pPr>
            <w:r w:rsidRPr="00FC7949">
              <w:rPr>
                <w:rFonts w:ascii="Arial" w:eastAsia="Arial" w:hAnsi="Arial"/>
                <w:sz w:val="16"/>
              </w:rPr>
              <w:t>14</w:t>
            </w:r>
            <w:r w:rsidR="00EA711C" w:rsidRPr="00FC7949">
              <w:rPr>
                <w:rFonts w:ascii="Arial" w:eastAsia="Arial" w:hAnsi="Arial"/>
                <w:sz w:val="16"/>
              </w:rPr>
              <w:t>.000,00</w:t>
            </w:r>
          </w:p>
        </w:tc>
      </w:tr>
      <w:tr w:rsidR="00BF488D" w:rsidRPr="00C77226" w:rsidTr="003169B1">
        <w:trPr>
          <w:trHeight w:val="211"/>
        </w:trPr>
        <w:tc>
          <w:tcPr>
            <w:tcW w:w="3300" w:type="dxa"/>
            <w:tcBorders>
              <w:left w:val="single" w:sz="8" w:space="0" w:color="auto"/>
            </w:tcBorders>
            <w:shd w:val="clear" w:color="auto" w:fill="auto"/>
            <w:vAlign w:val="bottom"/>
          </w:tcPr>
          <w:p w:rsidR="00BF488D" w:rsidRPr="00FC7949" w:rsidRDefault="00BF488D" w:rsidP="00A11F01">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BF488D" w:rsidRPr="00FC7949" w:rsidRDefault="00BF488D" w:rsidP="00A11F01">
            <w:pPr>
              <w:spacing w:line="0" w:lineRule="atLeast"/>
              <w:rPr>
                <w:rFonts w:ascii="Times New Roman" w:eastAsia="Times New Roman" w:hAnsi="Times New Roman"/>
                <w:sz w:val="18"/>
              </w:rPr>
            </w:pPr>
          </w:p>
        </w:tc>
        <w:tc>
          <w:tcPr>
            <w:tcW w:w="3980" w:type="dxa"/>
            <w:gridSpan w:val="2"/>
            <w:tcBorders>
              <w:right w:val="single" w:sz="8" w:space="0" w:color="auto"/>
            </w:tcBorders>
            <w:shd w:val="clear" w:color="auto" w:fill="auto"/>
            <w:vAlign w:val="bottom"/>
          </w:tcPr>
          <w:p w:rsidR="00BF488D" w:rsidRPr="00FC7949" w:rsidRDefault="00BF488D" w:rsidP="00A11F01">
            <w:pPr>
              <w:spacing w:line="0" w:lineRule="atLeast"/>
              <w:rPr>
                <w:rFonts w:ascii="Arial" w:eastAsia="Arial" w:hAnsi="Arial"/>
                <w:sz w:val="16"/>
              </w:rPr>
            </w:pPr>
          </w:p>
        </w:tc>
        <w:tc>
          <w:tcPr>
            <w:tcW w:w="2260" w:type="dxa"/>
            <w:tcBorders>
              <w:right w:val="single" w:sz="8" w:space="0" w:color="auto"/>
            </w:tcBorders>
            <w:shd w:val="clear" w:color="auto" w:fill="auto"/>
            <w:vAlign w:val="bottom"/>
          </w:tcPr>
          <w:p w:rsidR="00BF488D" w:rsidRPr="00FC7949" w:rsidRDefault="00BF488D" w:rsidP="00A11F01">
            <w:pPr>
              <w:spacing w:line="0" w:lineRule="atLeast"/>
              <w:rPr>
                <w:rFonts w:ascii="Times New Roman" w:eastAsia="Times New Roman" w:hAnsi="Times New Roman"/>
                <w:sz w:val="18"/>
              </w:rPr>
            </w:pPr>
          </w:p>
        </w:tc>
      </w:tr>
      <w:tr w:rsidR="00BF488D" w:rsidRPr="00C77226" w:rsidTr="003169B1">
        <w:trPr>
          <w:trHeight w:val="88"/>
        </w:trPr>
        <w:tc>
          <w:tcPr>
            <w:tcW w:w="3300" w:type="dxa"/>
            <w:tcBorders>
              <w:left w:val="single" w:sz="8" w:space="0" w:color="auto"/>
              <w:bottom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7"/>
              </w:rPr>
            </w:pPr>
          </w:p>
        </w:tc>
        <w:tc>
          <w:tcPr>
            <w:tcW w:w="3980" w:type="dxa"/>
            <w:gridSpan w:val="2"/>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7"/>
              </w:rPr>
            </w:pPr>
          </w:p>
        </w:tc>
        <w:tc>
          <w:tcPr>
            <w:tcW w:w="2260" w:type="dxa"/>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7"/>
              </w:rPr>
            </w:pPr>
          </w:p>
        </w:tc>
      </w:tr>
      <w:tr w:rsidR="00BF488D" w:rsidRPr="00C77226" w:rsidTr="003169B1">
        <w:trPr>
          <w:trHeight w:val="178"/>
        </w:trPr>
        <w:tc>
          <w:tcPr>
            <w:tcW w:w="3300" w:type="dxa"/>
            <w:tcBorders>
              <w:left w:val="single" w:sz="8" w:space="0" w:color="auto"/>
            </w:tcBorders>
            <w:shd w:val="clear" w:color="auto" w:fill="auto"/>
            <w:vAlign w:val="bottom"/>
          </w:tcPr>
          <w:p w:rsidR="00BF488D" w:rsidRPr="00C77226" w:rsidRDefault="00B52D12" w:rsidP="00A11F01">
            <w:pPr>
              <w:spacing w:line="177" w:lineRule="exact"/>
              <w:ind w:left="20"/>
              <w:rPr>
                <w:rFonts w:ascii="Arial" w:eastAsia="Arial" w:hAnsi="Arial"/>
                <w:b/>
                <w:sz w:val="16"/>
              </w:rPr>
            </w:pPr>
            <w:r>
              <w:rPr>
                <w:rFonts w:ascii="Arial" w:eastAsia="Arial" w:hAnsi="Arial"/>
                <w:b/>
                <w:sz w:val="16"/>
              </w:rPr>
              <w:t>Totale</w:t>
            </w:r>
          </w:p>
        </w:tc>
        <w:tc>
          <w:tcPr>
            <w:tcW w:w="120" w:type="dxa"/>
            <w:tcBorders>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5"/>
              </w:rPr>
            </w:pPr>
          </w:p>
        </w:tc>
        <w:tc>
          <w:tcPr>
            <w:tcW w:w="3980" w:type="dxa"/>
            <w:gridSpan w:val="2"/>
            <w:tcBorders>
              <w:right w:val="single" w:sz="8" w:space="0" w:color="auto"/>
            </w:tcBorders>
            <w:shd w:val="clear" w:color="auto" w:fill="auto"/>
            <w:vAlign w:val="bottom"/>
          </w:tcPr>
          <w:p w:rsidR="00BF488D" w:rsidRPr="00C77226" w:rsidRDefault="00BF488D" w:rsidP="00A11F01">
            <w:pPr>
              <w:spacing w:line="177" w:lineRule="exact"/>
              <w:rPr>
                <w:rFonts w:ascii="Arial" w:eastAsia="Arial" w:hAnsi="Arial"/>
                <w:b/>
                <w:sz w:val="16"/>
              </w:rPr>
            </w:pPr>
          </w:p>
        </w:tc>
        <w:tc>
          <w:tcPr>
            <w:tcW w:w="2260" w:type="dxa"/>
            <w:tcBorders>
              <w:right w:val="single" w:sz="8" w:space="0" w:color="auto"/>
            </w:tcBorders>
            <w:shd w:val="clear" w:color="auto" w:fill="auto"/>
            <w:vAlign w:val="bottom"/>
          </w:tcPr>
          <w:p w:rsidR="00BF488D" w:rsidRPr="00C77226" w:rsidRDefault="00B52D12" w:rsidP="00B52D12">
            <w:pPr>
              <w:spacing w:line="177" w:lineRule="exact"/>
              <w:ind w:right="60"/>
              <w:jc w:val="center"/>
              <w:rPr>
                <w:rFonts w:ascii="Arial" w:eastAsia="Arial" w:hAnsi="Arial"/>
                <w:b/>
                <w:sz w:val="16"/>
              </w:rPr>
            </w:pPr>
            <w:r>
              <w:rPr>
                <w:rFonts w:ascii="Arial" w:eastAsia="Arial" w:hAnsi="Arial"/>
                <w:b/>
                <w:sz w:val="16"/>
              </w:rPr>
              <w:t>70.000,00</w:t>
            </w:r>
          </w:p>
        </w:tc>
      </w:tr>
      <w:tr w:rsidR="00BF488D" w:rsidRPr="00C77226" w:rsidTr="003169B1">
        <w:trPr>
          <w:trHeight w:val="149"/>
        </w:trPr>
        <w:tc>
          <w:tcPr>
            <w:tcW w:w="3300" w:type="dxa"/>
            <w:tcBorders>
              <w:left w:val="single" w:sz="8" w:space="0" w:color="auto"/>
              <w:bottom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2"/>
              </w:rPr>
            </w:pPr>
          </w:p>
        </w:tc>
        <w:tc>
          <w:tcPr>
            <w:tcW w:w="120" w:type="dxa"/>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2"/>
              </w:rPr>
            </w:pPr>
          </w:p>
        </w:tc>
        <w:tc>
          <w:tcPr>
            <w:tcW w:w="3980" w:type="dxa"/>
            <w:gridSpan w:val="2"/>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2"/>
              </w:rPr>
            </w:pPr>
          </w:p>
        </w:tc>
        <w:tc>
          <w:tcPr>
            <w:tcW w:w="2260" w:type="dxa"/>
            <w:tcBorders>
              <w:bottom w:val="single" w:sz="8" w:space="0" w:color="auto"/>
              <w:right w:val="single" w:sz="8" w:space="0" w:color="auto"/>
            </w:tcBorders>
            <w:shd w:val="clear" w:color="auto" w:fill="auto"/>
            <w:vAlign w:val="bottom"/>
          </w:tcPr>
          <w:p w:rsidR="00BF488D" w:rsidRPr="00C77226" w:rsidRDefault="00BF488D" w:rsidP="00A11F01">
            <w:pPr>
              <w:spacing w:line="0" w:lineRule="atLeast"/>
              <w:rPr>
                <w:rFonts w:ascii="Times New Roman" w:eastAsia="Times New Roman" w:hAnsi="Times New Roman"/>
                <w:sz w:val="12"/>
              </w:rPr>
            </w:pPr>
          </w:p>
        </w:tc>
      </w:tr>
    </w:tbl>
    <w:p w:rsidR="00C77226" w:rsidRDefault="00C77226"/>
    <w:p w:rsidR="00C77226" w:rsidRPr="00C77226" w:rsidRDefault="00C77226"/>
    <w:tbl>
      <w:tblPr>
        <w:tblW w:w="9690" w:type="dxa"/>
        <w:tblInd w:w="10" w:type="dxa"/>
        <w:tblLayout w:type="fixed"/>
        <w:tblCellMar>
          <w:left w:w="0" w:type="dxa"/>
          <w:right w:w="0" w:type="dxa"/>
        </w:tblCellMar>
        <w:tblLook w:val="0000" w:firstRow="0" w:lastRow="0" w:firstColumn="0" w:lastColumn="0" w:noHBand="0" w:noVBand="0"/>
      </w:tblPr>
      <w:tblGrid>
        <w:gridCol w:w="3303"/>
        <w:gridCol w:w="140"/>
        <w:gridCol w:w="3955"/>
        <w:gridCol w:w="2292"/>
      </w:tblGrid>
      <w:tr w:rsidR="00C77226" w:rsidRPr="00C77226" w:rsidTr="00113BBD">
        <w:trPr>
          <w:trHeight w:val="244"/>
        </w:trPr>
        <w:tc>
          <w:tcPr>
            <w:tcW w:w="9690" w:type="dxa"/>
            <w:gridSpan w:val="4"/>
            <w:shd w:val="clear" w:color="auto" w:fill="auto"/>
            <w:vAlign w:val="bottom"/>
          </w:tcPr>
          <w:p w:rsidR="00C77226" w:rsidRPr="00C77226" w:rsidRDefault="00C77226" w:rsidP="00C77226">
            <w:pPr>
              <w:spacing w:line="0" w:lineRule="atLeast"/>
              <w:jc w:val="center"/>
              <w:rPr>
                <w:rFonts w:ascii="Times New Roman" w:eastAsia="Times New Roman" w:hAnsi="Times New Roman"/>
                <w:sz w:val="21"/>
              </w:rPr>
            </w:pPr>
            <w:r w:rsidRPr="00C77226">
              <w:rPr>
                <w:rFonts w:ascii="Arial" w:eastAsia="Arial" w:hAnsi="Arial"/>
                <w:b/>
                <w:sz w:val="22"/>
              </w:rPr>
              <w:t>Cronoprogramma delle attività</w:t>
            </w:r>
          </w:p>
        </w:tc>
      </w:tr>
      <w:tr w:rsidR="00113BBD" w:rsidRPr="00113BBD" w:rsidTr="00113BBD">
        <w:trPr>
          <w:trHeight w:val="362"/>
        </w:trPr>
        <w:tc>
          <w:tcPr>
            <w:tcW w:w="3303" w:type="dxa"/>
            <w:tcBorders>
              <w:bottom w:val="single" w:sz="8"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22"/>
                <w:szCs w:val="22"/>
              </w:rPr>
            </w:pPr>
          </w:p>
          <w:p w:rsidR="00113BBD" w:rsidRPr="00113BBD" w:rsidRDefault="00113BBD" w:rsidP="00113BBD">
            <w:pPr>
              <w:spacing w:line="0" w:lineRule="atLeast"/>
              <w:rPr>
                <w:rFonts w:eastAsia="Times New Roman"/>
                <w:sz w:val="22"/>
                <w:szCs w:val="22"/>
                <w:highlight w:val="yellow"/>
              </w:rPr>
            </w:pPr>
            <w:r w:rsidRPr="00113BBD">
              <w:rPr>
                <w:rFonts w:eastAsia="Times New Roman"/>
                <w:sz w:val="22"/>
                <w:szCs w:val="22"/>
              </w:rPr>
              <w:t>Acquisto mezzi</w:t>
            </w:r>
          </w:p>
        </w:tc>
        <w:tc>
          <w:tcPr>
            <w:tcW w:w="140" w:type="dxa"/>
            <w:tcBorders>
              <w:bottom w:val="single" w:sz="8"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22"/>
                <w:szCs w:val="22"/>
                <w:highlight w:val="yellow"/>
              </w:rPr>
            </w:pPr>
          </w:p>
        </w:tc>
        <w:tc>
          <w:tcPr>
            <w:tcW w:w="3955" w:type="dxa"/>
            <w:tcBorders>
              <w:bottom w:val="single" w:sz="8"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22"/>
                <w:szCs w:val="22"/>
                <w:highlight w:val="yellow"/>
              </w:rPr>
            </w:pPr>
          </w:p>
        </w:tc>
        <w:tc>
          <w:tcPr>
            <w:tcW w:w="2292" w:type="dxa"/>
            <w:tcBorders>
              <w:bottom w:val="single" w:sz="8"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22"/>
                <w:szCs w:val="22"/>
                <w:highlight w:val="yellow"/>
              </w:rPr>
            </w:pPr>
          </w:p>
        </w:tc>
      </w:tr>
      <w:tr w:rsidR="00113BBD" w:rsidRPr="00113BBD" w:rsidTr="00113BBD">
        <w:trPr>
          <w:trHeight w:val="215"/>
        </w:trPr>
        <w:tc>
          <w:tcPr>
            <w:tcW w:w="3303" w:type="dxa"/>
            <w:tcBorders>
              <w:left w:val="single" w:sz="8" w:space="0" w:color="auto"/>
              <w:bottom w:val="single" w:sz="4" w:space="0" w:color="auto"/>
            </w:tcBorders>
            <w:shd w:val="clear" w:color="auto" w:fill="808080"/>
            <w:vAlign w:val="bottom"/>
          </w:tcPr>
          <w:p w:rsidR="00113BBD" w:rsidRPr="00113BBD" w:rsidRDefault="00113BBD" w:rsidP="00113BBD">
            <w:pPr>
              <w:spacing w:line="177" w:lineRule="exact"/>
              <w:ind w:left="20"/>
              <w:rPr>
                <w:rFonts w:ascii="Arial" w:eastAsia="Arial" w:hAnsi="Arial"/>
                <w:b/>
                <w:sz w:val="16"/>
              </w:rPr>
            </w:pPr>
            <w:r w:rsidRPr="00113BBD">
              <w:rPr>
                <w:rFonts w:ascii="Arial" w:eastAsia="Arial" w:hAnsi="Arial"/>
                <w:b/>
                <w:sz w:val="16"/>
              </w:rPr>
              <w:t>Fasi</w:t>
            </w:r>
          </w:p>
        </w:tc>
        <w:tc>
          <w:tcPr>
            <w:tcW w:w="140" w:type="dxa"/>
            <w:tcBorders>
              <w:bottom w:val="single" w:sz="4" w:space="0" w:color="auto"/>
              <w:right w:val="single" w:sz="8" w:space="0" w:color="auto"/>
            </w:tcBorders>
            <w:shd w:val="clear" w:color="auto" w:fill="808080"/>
            <w:vAlign w:val="bottom"/>
          </w:tcPr>
          <w:p w:rsidR="00113BBD" w:rsidRPr="00113BBD" w:rsidRDefault="00113BBD" w:rsidP="00113BBD">
            <w:pPr>
              <w:spacing w:line="0" w:lineRule="atLeast"/>
              <w:rPr>
                <w:rFonts w:ascii="Times New Roman" w:eastAsia="Times New Roman" w:hAnsi="Times New Roman"/>
                <w:sz w:val="18"/>
              </w:rPr>
            </w:pPr>
          </w:p>
        </w:tc>
        <w:tc>
          <w:tcPr>
            <w:tcW w:w="3955" w:type="dxa"/>
            <w:tcBorders>
              <w:bottom w:val="single" w:sz="4" w:space="0" w:color="auto"/>
              <w:right w:val="single" w:sz="8" w:space="0" w:color="auto"/>
            </w:tcBorders>
            <w:shd w:val="clear" w:color="auto" w:fill="808080"/>
            <w:vAlign w:val="bottom"/>
          </w:tcPr>
          <w:p w:rsidR="00113BBD" w:rsidRPr="00113BBD" w:rsidRDefault="00113BBD" w:rsidP="00113BBD">
            <w:pPr>
              <w:spacing w:line="177" w:lineRule="exact"/>
              <w:rPr>
                <w:rFonts w:ascii="Arial" w:eastAsia="Arial" w:hAnsi="Arial"/>
                <w:b/>
                <w:sz w:val="16"/>
              </w:rPr>
            </w:pPr>
            <w:r w:rsidRPr="00113BBD">
              <w:rPr>
                <w:rFonts w:ascii="Arial" w:eastAsia="Arial" w:hAnsi="Arial"/>
                <w:b/>
                <w:sz w:val="16"/>
              </w:rPr>
              <w:t>Data inizio prevista</w:t>
            </w:r>
          </w:p>
        </w:tc>
        <w:tc>
          <w:tcPr>
            <w:tcW w:w="2292" w:type="dxa"/>
            <w:tcBorders>
              <w:bottom w:val="single" w:sz="4" w:space="0" w:color="auto"/>
              <w:right w:val="single" w:sz="8" w:space="0" w:color="auto"/>
            </w:tcBorders>
            <w:shd w:val="clear" w:color="auto" w:fill="808080"/>
            <w:vAlign w:val="bottom"/>
          </w:tcPr>
          <w:p w:rsidR="00113BBD" w:rsidRPr="00113BBD" w:rsidRDefault="00113BBD" w:rsidP="00113BBD">
            <w:pPr>
              <w:spacing w:line="177" w:lineRule="exact"/>
              <w:rPr>
                <w:rFonts w:ascii="Arial" w:eastAsia="Arial" w:hAnsi="Arial"/>
                <w:b/>
                <w:sz w:val="16"/>
              </w:rPr>
            </w:pPr>
            <w:r w:rsidRPr="00113BBD">
              <w:rPr>
                <w:rFonts w:ascii="Arial" w:eastAsia="Arial" w:hAnsi="Arial"/>
                <w:b/>
                <w:sz w:val="16"/>
              </w:rPr>
              <w:t>Data fine prevista</w:t>
            </w:r>
          </w:p>
        </w:tc>
      </w:tr>
      <w:tr w:rsidR="00113BBD" w:rsidRPr="00113BBD" w:rsidTr="00113BBD">
        <w:trPr>
          <w:trHeight w:val="254"/>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15"/>
              </w:rPr>
            </w:pPr>
            <w:r w:rsidRPr="00113BBD">
              <w:rPr>
                <w:rFonts w:ascii="Arial" w:eastAsia="Arial" w:hAnsi="Arial"/>
                <w:b/>
                <w:sz w:val="16"/>
              </w:rPr>
              <w:t>Predisposizione capitolato d’oneri</w:t>
            </w:r>
          </w:p>
        </w:tc>
        <w:tc>
          <w:tcPr>
            <w:tcW w:w="3955" w:type="dxa"/>
            <w:tcBorders>
              <w:top w:val="single" w:sz="4" w:space="0" w:color="auto"/>
              <w:left w:val="single" w:sz="4" w:space="0" w:color="auto"/>
              <w:bottom w:val="single" w:sz="4" w:space="0" w:color="auto"/>
              <w:right w:val="single" w:sz="4" w:space="0" w:color="auto"/>
            </w:tcBorders>
            <w:shd w:val="clear" w:color="auto" w:fill="auto"/>
          </w:tcPr>
          <w:p w:rsidR="00113BBD" w:rsidRPr="00113BBD" w:rsidRDefault="00113BBD" w:rsidP="00113BBD">
            <w:pPr>
              <w:rPr>
                <w:rFonts w:ascii="Arial" w:eastAsia="Arial" w:hAnsi="Arial"/>
                <w:b/>
                <w:sz w:val="16"/>
              </w:rPr>
            </w:pPr>
            <w:r w:rsidRPr="00113BBD">
              <w:rPr>
                <w:rFonts w:ascii="Arial" w:eastAsia="Arial" w:hAnsi="Arial"/>
                <w:b/>
                <w:sz w:val="16"/>
              </w:rPr>
              <w:t xml:space="preserve"> 01/06/2022</w:t>
            </w:r>
          </w:p>
        </w:tc>
        <w:tc>
          <w:tcPr>
            <w:tcW w:w="2292" w:type="dxa"/>
            <w:tcBorders>
              <w:top w:val="single" w:sz="4" w:space="0" w:color="auto"/>
              <w:left w:val="single" w:sz="4" w:space="0" w:color="auto"/>
              <w:bottom w:val="single" w:sz="4" w:space="0" w:color="auto"/>
              <w:right w:val="single" w:sz="4" w:space="0" w:color="auto"/>
            </w:tcBorders>
            <w:shd w:val="clear" w:color="auto" w:fill="auto"/>
          </w:tcPr>
          <w:p w:rsidR="00113BBD" w:rsidRPr="00113BBD" w:rsidRDefault="00113BBD" w:rsidP="00113BBD">
            <w:pPr>
              <w:rPr>
                <w:rFonts w:ascii="Arial" w:eastAsia="Arial" w:hAnsi="Arial"/>
                <w:b/>
                <w:sz w:val="16"/>
              </w:rPr>
            </w:pPr>
            <w:r w:rsidRPr="00113BBD">
              <w:rPr>
                <w:rFonts w:ascii="Arial" w:eastAsia="Arial" w:hAnsi="Arial"/>
                <w:b/>
                <w:sz w:val="16"/>
              </w:rPr>
              <w:t xml:space="preserve"> 30/06/2022</w:t>
            </w:r>
          </w:p>
        </w:tc>
      </w:tr>
      <w:tr w:rsidR="00113BBD" w:rsidRPr="00113BBD" w:rsidTr="00113BBD">
        <w:trPr>
          <w:trHeight w:val="272"/>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15"/>
              </w:rPr>
            </w:pPr>
            <w:r w:rsidRPr="00113BBD">
              <w:rPr>
                <w:rFonts w:ascii="Arial" w:eastAsia="Arial" w:hAnsi="Arial"/>
                <w:b/>
                <w:sz w:val="16"/>
              </w:rPr>
              <w:t>Procedura di gara/stipula contratto</w:t>
            </w:r>
          </w:p>
        </w:tc>
        <w:tc>
          <w:tcPr>
            <w:tcW w:w="3955"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113BBD" w:rsidRPr="00113BBD" w:rsidTr="00FE003D">
              <w:trPr>
                <w:trHeight w:val="168"/>
              </w:trPr>
              <w:tc>
                <w:tcPr>
                  <w:tcW w:w="5942" w:type="dxa"/>
                  <w:tcBorders>
                    <w:right w:val="single" w:sz="8" w:space="0" w:color="auto"/>
                  </w:tcBorders>
                  <w:shd w:val="clear" w:color="auto" w:fill="auto"/>
                  <w:vAlign w:val="bottom"/>
                </w:tcPr>
                <w:p w:rsidR="00113BBD" w:rsidRPr="00113BBD" w:rsidRDefault="00113BBD" w:rsidP="00113BBD">
                  <w:pPr>
                    <w:spacing w:line="177" w:lineRule="exact"/>
                    <w:ind w:left="60"/>
                    <w:rPr>
                      <w:rFonts w:ascii="Arial" w:eastAsia="Arial" w:hAnsi="Arial"/>
                      <w:b/>
                      <w:sz w:val="16"/>
                    </w:rPr>
                  </w:pPr>
                  <w:r w:rsidRPr="00113BBD">
                    <w:rPr>
                      <w:rFonts w:ascii="Arial" w:eastAsia="Arial" w:hAnsi="Arial"/>
                      <w:b/>
                      <w:sz w:val="16"/>
                    </w:rPr>
                    <w:t>01/07/2022</w:t>
                  </w:r>
                </w:p>
              </w:tc>
              <w:tc>
                <w:tcPr>
                  <w:tcW w:w="3359" w:type="dxa"/>
                  <w:tcBorders>
                    <w:right w:val="single" w:sz="8" w:space="0" w:color="auto"/>
                  </w:tcBorders>
                  <w:shd w:val="clear" w:color="auto" w:fill="auto"/>
                  <w:vAlign w:val="bottom"/>
                </w:tcPr>
                <w:p w:rsidR="00113BBD" w:rsidRPr="00113BBD" w:rsidRDefault="00113BBD" w:rsidP="00113BBD">
                  <w:pPr>
                    <w:spacing w:line="177" w:lineRule="exact"/>
                    <w:ind w:right="1340"/>
                    <w:jc w:val="right"/>
                    <w:rPr>
                      <w:rFonts w:ascii="Arial" w:eastAsia="Arial" w:hAnsi="Arial"/>
                      <w:b/>
                      <w:sz w:val="16"/>
                    </w:rPr>
                  </w:pPr>
                  <w:r w:rsidRPr="00113BBD">
                    <w:rPr>
                      <w:rFonts w:ascii="Arial" w:eastAsia="Arial" w:hAnsi="Arial"/>
                      <w:b/>
                      <w:sz w:val="16"/>
                    </w:rPr>
                    <w:t>31/08/2020</w:t>
                  </w:r>
                </w:p>
              </w:tc>
            </w:tr>
          </w:tbl>
          <w:p w:rsidR="00113BBD" w:rsidRPr="00113BBD" w:rsidRDefault="00113BBD" w:rsidP="00113BBD">
            <w:pPr>
              <w:rPr>
                <w:rFonts w:ascii="Arial" w:eastAsia="Arial" w:hAnsi="Arial"/>
                <w:b/>
                <w:sz w:val="16"/>
              </w:rPr>
            </w:pPr>
          </w:p>
        </w:tc>
        <w:tc>
          <w:tcPr>
            <w:tcW w:w="2292"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113BBD" w:rsidRPr="00113BBD" w:rsidTr="00FE003D">
              <w:trPr>
                <w:trHeight w:val="168"/>
              </w:trPr>
              <w:tc>
                <w:tcPr>
                  <w:tcW w:w="5942" w:type="dxa"/>
                  <w:tcBorders>
                    <w:right w:val="single" w:sz="8" w:space="0" w:color="auto"/>
                  </w:tcBorders>
                  <w:shd w:val="clear" w:color="auto" w:fill="auto"/>
                  <w:vAlign w:val="bottom"/>
                </w:tcPr>
                <w:p w:rsidR="00113BBD" w:rsidRPr="00113BBD" w:rsidRDefault="00113BBD" w:rsidP="00113BBD">
                  <w:pPr>
                    <w:spacing w:line="177" w:lineRule="exact"/>
                    <w:ind w:left="60"/>
                    <w:rPr>
                      <w:rFonts w:ascii="Arial" w:eastAsia="Arial" w:hAnsi="Arial"/>
                      <w:b/>
                      <w:sz w:val="16"/>
                    </w:rPr>
                  </w:pPr>
                  <w:r w:rsidRPr="00113BBD">
                    <w:rPr>
                      <w:rFonts w:ascii="Arial" w:eastAsia="Arial" w:hAnsi="Arial"/>
                      <w:b/>
                      <w:sz w:val="16"/>
                    </w:rPr>
                    <w:t>31/08/2022</w:t>
                  </w:r>
                </w:p>
              </w:tc>
              <w:tc>
                <w:tcPr>
                  <w:tcW w:w="3359" w:type="dxa"/>
                  <w:tcBorders>
                    <w:right w:val="single" w:sz="8" w:space="0" w:color="auto"/>
                  </w:tcBorders>
                  <w:shd w:val="clear" w:color="auto" w:fill="auto"/>
                  <w:vAlign w:val="bottom"/>
                </w:tcPr>
                <w:p w:rsidR="00113BBD" w:rsidRPr="00113BBD" w:rsidRDefault="00113BBD" w:rsidP="00113BBD">
                  <w:pPr>
                    <w:spacing w:line="177" w:lineRule="exact"/>
                    <w:ind w:right="1340"/>
                    <w:jc w:val="right"/>
                    <w:rPr>
                      <w:rFonts w:ascii="Arial" w:eastAsia="Arial" w:hAnsi="Arial"/>
                      <w:b/>
                      <w:sz w:val="16"/>
                    </w:rPr>
                  </w:pPr>
                  <w:r w:rsidRPr="00113BBD">
                    <w:rPr>
                      <w:rFonts w:ascii="Arial" w:eastAsia="Arial" w:hAnsi="Arial"/>
                      <w:b/>
                      <w:sz w:val="16"/>
                    </w:rPr>
                    <w:t>31/08/2020</w:t>
                  </w:r>
                </w:p>
              </w:tc>
            </w:tr>
          </w:tbl>
          <w:p w:rsidR="00113BBD" w:rsidRPr="00113BBD" w:rsidRDefault="00113BBD" w:rsidP="00113BBD">
            <w:pPr>
              <w:rPr>
                <w:rFonts w:ascii="Arial" w:eastAsia="Arial" w:hAnsi="Arial"/>
                <w:b/>
                <w:sz w:val="16"/>
              </w:rPr>
            </w:pPr>
          </w:p>
        </w:tc>
      </w:tr>
      <w:tr w:rsidR="00113BBD" w:rsidRPr="00113BBD" w:rsidTr="00113BBD">
        <w:trPr>
          <w:trHeight w:val="286"/>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15"/>
              </w:rPr>
            </w:pPr>
            <w:r w:rsidRPr="00113BBD">
              <w:rPr>
                <w:rFonts w:ascii="Arial" w:eastAsia="Arial" w:hAnsi="Arial"/>
                <w:b/>
                <w:sz w:val="16"/>
              </w:rPr>
              <w:t>Esecuzione fornitura</w:t>
            </w:r>
          </w:p>
        </w:tc>
        <w:tc>
          <w:tcPr>
            <w:tcW w:w="3955" w:type="dxa"/>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177" w:lineRule="exact"/>
              <w:ind w:left="60"/>
              <w:rPr>
                <w:rFonts w:ascii="Arial" w:eastAsia="Arial" w:hAnsi="Arial"/>
                <w:b/>
                <w:sz w:val="16"/>
              </w:rPr>
            </w:pPr>
            <w:r w:rsidRPr="00113BBD">
              <w:rPr>
                <w:rFonts w:ascii="Arial" w:eastAsia="Arial" w:hAnsi="Arial"/>
                <w:b/>
                <w:sz w:val="16"/>
              </w:rPr>
              <w:t>01/09/2022</w:t>
            </w:r>
          </w:p>
        </w:tc>
        <w:tc>
          <w:tcPr>
            <w:tcW w:w="2292" w:type="dxa"/>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177" w:lineRule="exact"/>
              <w:ind w:right="1340"/>
              <w:jc w:val="center"/>
              <w:rPr>
                <w:rFonts w:ascii="Arial" w:eastAsia="Arial" w:hAnsi="Arial"/>
                <w:b/>
                <w:sz w:val="16"/>
              </w:rPr>
            </w:pPr>
            <w:r w:rsidRPr="00113BBD">
              <w:rPr>
                <w:rFonts w:ascii="Arial" w:eastAsia="Arial" w:hAnsi="Arial"/>
                <w:b/>
                <w:sz w:val="16"/>
              </w:rPr>
              <w:t>30/11/2022</w:t>
            </w:r>
          </w:p>
        </w:tc>
      </w:tr>
      <w:tr w:rsidR="00113BBD" w:rsidRPr="00113BBD" w:rsidTr="00113BBD">
        <w:trPr>
          <w:trHeight w:val="336"/>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15"/>
              </w:rPr>
            </w:pPr>
            <w:r w:rsidRPr="00113BBD">
              <w:rPr>
                <w:rFonts w:ascii="Arial" w:eastAsia="Arial" w:hAnsi="Arial"/>
                <w:b/>
                <w:sz w:val="16"/>
              </w:rPr>
              <w:t>Verifiche e controlli/funzionalità</w:t>
            </w:r>
          </w:p>
        </w:tc>
        <w:tc>
          <w:tcPr>
            <w:tcW w:w="3955" w:type="dxa"/>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177" w:lineRule="exact"/>
              <w:ind w:left="60"/>
              <w:rPr>
                <w:rFonts w:ascii="Arial" w:eastAsia="Arial" w:hAnsi="Arial"/>
                <w:b/>
                <w:sz w:val="16"/>
              </w:rPr>
            </w:pPr>
            <w:r w:rsidRPr="00113BBD">
              <w:rPr>
                <w:rFonts w:ascii="Arial" w:eastAsia="Arial" w:hAnsi="Arial"/>
                <w:b/>
                <w:sz w:val="16"/>
              </w:rPr>
              <w:t>01/12/2022</w:t>
            </w:r>
          </w:p>
        </w:tc>
        <w:tc>
          <w:tcPr>
            <w:tcW w:w="2292" w:type="dxa"/>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177" w:lineRule="exact"/>
              <w:ind w:right="1340"/>
              <w:jc w:val="center"/>
              <w:rPr>
                <w:rFonts w:ascii="Arial" w:eastAsia="Arial" w:hAnsi="Arial"/>
                <w:b/>
                <w:sz w:val="16"/>
              </w:rPr>
            </w:pPr>
            <w:r w:rsidRPr="00113BBD">
              <w:rPr>
                <w:rFonts w:ascii="Arial" w:eastAsia="Arial" w:hAnsi="Arial"/>
                <w:b/>
                <w:sz w:val="16"/>
              </w:rPr>
              <w:t>31/12/2022</w:t>
            </w:r>
          </w:p>
        </w:tc>
      </w:tr>
    </w:tbl>
    <w:p w:rsidR="00113BBD" w:rsidRDefault="00113BBD" w:rsidP="00113BBD">
      <w:pPr>
        <w:jc w:val="both"/>
        <w:rPr>
          <w:rFonts w:ascii="Arial" w:eastAsia="Arial" w:hAnsi="Arial"/>
          <w:b/>
          <w:sz w:val="22"/>
        </w:rPr>
      </w:pPr>
    </w:p>
    <w:p w:rsidR="00113BBD" w:rsidRDefault="00113BBD" w:rsidP="00113BBD">
      <w:pPr>
        <w:jc w:val="both"/>
        <w:rPr>
          <w:rFonts w:ascii="Arial" w:eastAsia="Arial" w:hAnsi="Arial"/>
          <w:b/>
          <w:sz w:val="22"/>
        </w:rPr>
      </w:pPr>
    </w:p>
    <w:p w:rsidR="00113BBD" w:rsidRPr="00113BBD" w:rsidRDefault="00113BBD" w:rsidP="00113BBD">
      <w:r w:rsidRPr="00113BBD">
        <w:t>Attivazione servizio</w:t>
      </w:r>
    </w:p>
    <w:tbl>
      <w:tblPr>
        <w:tblW w:w="9690" w:type="dxa"/>
        <w:tblInd w:w="10" w:type="dxa"/>
        <w:tblLayout w:type="fixed"/>
        <w:tblCellMar>
          <w:left w:w="0" w:type="dxa"/>
          <w:right w:w="0" w:type="dxa"/>
        </w:tblCellMar>
        <w:tblLook w:val="0000" w:firstRow="0" w:lastRow="0" w:firstColumn="0" w:lastColumn="0" w:noHBand="0" w:noVBand="0"/>
      </w:tblPr>
      <w:tblGrid>
        <w:gridCol w:w="3303"/>
        <w:gridCol w:w="140"/>
        <w:gridCol w:w="3955"/>
        <w:gridCol w:w="2292"/>
      </w:tblGrid>
      <w:tr w:rsidR="00113BBD" w:rsidRPr="00113BBD" w:rsidTr="00FE003D">
        <w:trPr>
          <w:trHeight w:val="215"/>
        </w:trPr>
        <w:tc>
          <w:tcPr>
            <w:tcW w:w="3303" w:type="dxa"/>
            <w:tcBorders>
              <w:left w:val="single" w:sz="8" w:space="0" w:color="auto"/>
              <w:bottom w:val="single" w:sz="4" w:space="0" w:color="auto"/>
            </w:tcBorders>
            <w:shd w:val="clear" w:color="auto" w:fill="808080"/>
            <w:vAlign w:val="bottom"/>
          </w:tcPr>
          <w:p w:rsidR="00113BBD" w:rsidRPr="00113BBD" w:rsidRDefault="00113BBD" w:rsidP="00113BBD">
            <w:pPr>
              <w:spacing w:line="177" w:lineRule="exact"/>
              <w:ind w:left="20"/>
              <w:rPr>
                <w:rFonts w:ascii="Arial" w:eastAsia="Arial" w:hAnsi="Arial"/>
                <w:b/>
                <w:sz w:val="16"/>
              </w:rPr>
            </w:pPr>
            <w:r w:rsidRPr="00113BBD">
              <w:rPr>
                <w:rFonts w:ascii="Arial" w:eastAsia="Arial" w:hAnsi="Arial"/>
                <w:b/>
                <w:sz w:val="16"/>
              </w:rPr>
              <w:t>Fasi</w:t>
            </w:r>
          </w:p>
        </w:tc>
        <w:tc>
          <w:tcPr>
            <w:tcW w:w="140" w:type="dxa"/>
            <w:tcBorders>
              <w:bottom w:val="single" w:sz="4" w:space="0" w:color="auto"/>
              <w:right w:val="single" w:sz="8" w:space="0" w:color="auto"/>
            </w:tcBorders>
            <w:shd w:val="clear" w:color="auto" w:fill="808080"/>
            <w:vAlign w:val="bottom"/>
          </w:tcPr>
          <w:p w:rsidR="00113BBD" w:rsidRPr="00113BBD" w:rsidRDefault="00113BBD" w:rsidP="00113BBD">
            <w:pPr>
              <w:spacing w:line="0" w:lineRule="atLeast"/>
              <w:rPr>
                <w:rFonts w:ascii="Times New Roman" w:eastAsia="Times New Roman" w:hAnsi="Times New Roman"/>
                <w:sz w:val="18"/>
              </w:rPr>
            </w:pPr>
          </w:p>
        </w:tc>
        <w:tc>
          <w:tcPr>
            <w:tcW w:w="3955" w:type="dxa"/>
            <w:tcBorders>
              <w:bottom w:val="single" w:sz="4" w:space="0" w:color="auto"/>
              <w:right w:val="single" w:sz="8" w:space="0" w:color="auto"/>
            </w:tcBorders>
            <w:shd w:val="clear" w:color="auto" w:fill="808080"/>
            <w:vAlign w:val="bottom"/>
          </w:tcPr>
          <w:p w:rsidR="00113BBD" w:rsidRPr="00113BBD" w:rsidRDefault="00113BBD" w:rsidP="00113BBD">
            <w:pPr>
              <w:spacing w:line="177" w:lineRule="exact"/>
              <w:rPr>
                <w:rFonts w:ascii="Arial" w:eastAsia="Arial" w:hAnsi="Arial"/>
                <w:b/>
                <w:sz w:val="16"/>
              </w:rPr>
            </w:pPr>
            <w:r w:rsidRPr="00113BBD">
              <w:rPr>
                <w:rFonts w:ascii="Arial" w:eastAsia="Arial" w:hAnsi="Arial"/>
                <w:b/>
                <w:sz w:val="16"/>
              </w:rPr>
              <w:t>Data inizio prevista</w:t>
            </w:r>
          </w:p>
        </w:tc>
        <w:tc>
          <w:tcPr>
            <w:tcW w:w="2292" w:type="dxa"/>
            <w:tcBorders>
              <w:bottom w:val="single" w:sz="4" w:space="0" w:color="auto"/>
              <w:right w:val="single" w:sz="8" w:space="0" w:color="auto"/>
            </w:tcBorders>
            <w:shd w:val="clear" w:color="auto" w:fill="808080"/>
            <w:vAlign w:val="bottom"/>
          </w:tcPr>
          <w:p w:rsidR="00113BBD" w:rsidRPr="00113BBD" w:rsidRDefault="00113BBD" w:rsidP="00113BBD">
            <w:pPr>
              <w:spacing w:line="177" w:lineRule="exact"/>
              <w:rPr>
                <w:rFonts w:ascii="Arial" w:eastAsia="Arial" w:hAnsi="Arial"/>
                <w:b/>
                <w:sz w:val="16"/>
              </w:rPr>
            </w:pPr>
            <w:r w:rsidRPr="00113BBD">
              <w:rPr>
                <w:rFonts w:ascii="Arial" w:eastAsia="Arial" w:hAnsi="Arial"/>
                <w:b/>
                <w:sz w:val="16"/>
              </w:rPr>
              <w:t>Data fine prevista</w:t>
            </w:r>
          </w:p>
        </w:tc>
      </w:tr>
      <w:tr w:rsidR="00113BBD" w:rsidRPr="00113BBD" w:rsidTr="00FE003D">
        <w:trPr>
          <w:trHeight w:val="254"/>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15"/>
              </w:rPr>
            </w:pPr>
            <w:r w:rsidRPr="00113BBD">
              <w:rPr>
                <w:rFonts w:ascii="Arial" w:eastAsia="Arial" w:hAnsi="Arial"/>
                <w:b/>
                <w:sz w:val="16"/>
              </w:rPr>
              <w:t>Pubblicazione avviso/stipula convenzione</w:t>
            </w:r>
          </w:p>
        </w:tc>
        <w:tc>
          <w:tcPr>
            <w:tcW w:w="3955" w:type="dxa"/>
            <w:tcBorders>
              <w:top w:val="single" w:sz="4" w:space="0" w:color="auto"/>
              <w:left w:val="single" w:sz="4" w:space="0" w:color="auto"/>
              <w:bottom w:val="single" w:sz="4" w:space="0" w:color="auto"/>
              <w:right w:val="single" w:sz="4" w:space="0" w:color="auto"/>
            </w:tcBorders>
            <w:shd w:val="clear" w:color="auto" w:fill="auto"/>
          </w:tcPr>
          <w:p w:rsidR="00113BBD" w:rsidRPr="00113BBD" w:rsidRDefault="00113BBD" w:rsidP="00113BBD">
            <w:pPr>
              <w:rPr>
                <w:rFonts w:ascii="Arial" w:eastAsia="Arial" w:hAnsi="Arial"/>
                <w:b/>
                <w:sz w:val="16"/>
              </w:rPr>
            </w:pPr>
            <w:r w:rsidRPr="00113BBD">
              <w:rPr>
                <w:rFonts w:ascii="Arial" w:eastAsia="Arial" w:hAnsi="Arial"/>
                <w:b/>
                <w:sz w:val="16"/>
              </w:rPr>
              <w:t xml:space="preserve"> 01/10/2022</w:t>
            </w:r>
          </w:p>
        </w:tc>
        <w:tc>
          <w:tcPr>
            <w:tcW w:w="2292" w:type="dxa"/>
            <w:tcBorders>
              <w:top w:val="single" w:sz="4" w:space="0" w:color="auto"/>
              <w:left w:val="single" w:sz="4" w:space="0" w:color="auto"/>
              <w:bottom w:val="single" w:sz="4" w:space="0" w:color="auto"/>
              <w:right w:val="single" w:sz="4" w:space="0" w:color="auto"/>
            </w:tcBorders>
            <w:shd w:val="clear" w:color="auto" w:fill="auto"/>
          </w:tcPr>
          <w:p w:rsidR="00113BBD" w:rsidRPr="00113BBD" w:rsidRDefault="00113BBD" w:rsidP="00113BBD">
            <w:pPr>
              <w:rPr>
                <w:rFonts w:ascii="Arial" w:eastAsia="Arial" w:hAnsi="Arial"/>
                <w:b/>
                <w:sz w:val="16"/>
              </w:rPr>
            </w:pPr>
            <w:r w:rsidRPr="00113BBD">
              <w:rPr>
                <w:rFonts w:ascii="Arial" w:eastAsia="Arial" w:hAnsi="Arial"/>
                <w:b/>
                <w:sz w:val="16"/>
              </w:rPr>
              <w:t>30/11/2022</w:t>
            </w:r>
          </w:p>
        </w:tc>
      </w:tr>
      <w:tr w:rsidR="00113BBD" w:rsidRPr="00113BBD" w:rsidTr="00FE003D">
        <w:trPr>
          <w:trHeight w:val="272"/>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15"/>
              </w:rPr>
            </w:pPr>
            <w:r w:rsidRPr="00113BBD">
              <w:rPr>
                <w:rFonts w:ascii="Arial" w:eastAsia="Arial" w:hAnsi="Arial"/>
                <w:b/>
                <w:sz w:val="16"/>
              </w:rPr>
              <w:t>Esecuzione servizio</w:t>
            </w:r>
          </w:p>
        </w:tc>
        <w:tc>
          <w:tcPr>
            <w:tcW w:w="3955"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113BBD" w:rsidRPr="00113BBD" w:rsidTr="00FE003D">
              <w:trPr>
                <w:trHeight w:val="168"/>
              </w:trPr>
              <w:tc>
                <w:tcPr>
                  <w:tcW w:w="5942" w:type="dxa"/>
                  <w:tcBorders>
                    <w:right w:val="single" w:sz="8" w:space="0" w:color="auto"/>
                  </w:tcBorders>
                  <w:shd w:val="clear" w:color="auto" w:fill="auto"/>
                  <w:vAlign w:val="bottom"/>
                </w:tcPr>
                <w:p w:rsidR="00113BBD" w:rsidRPr="00113BBD" w:rsidRDefault="00113BBD" w:rsidP="00113BBD">
                  <w:pPr>
                    <w:spacing w:line="177" w:lineRule="exact"/>
                    <w:ind w:left="60"/>
                    <w:rPr>
                      <w:rFonts w:ascii="Arial" w:eastAsia="Arial" w:hAnsi="Arial"/>
                      <w:b/>
                      <w:sz w:val="16"/>
                    </w:rPr>
                  </w:pPr>
                  <w:r w:rsidRPr="00113BBD">
                    <w:rPr>
                      <w:rFonts w:ascii="Arial" w:eastAsia="Arial" w:hAnsi="Arial"/>
                      <w:b/>
                      <w:sz w:val="16"/>
                    </w:rPr>
                    <w:t>01/12/2022</w:t>
                  </w:r>
                </w:p>
              </w:tc>
              <w:tc>
                <w:tcPr>
                  <w:tcW w:w="3359" w:type="dxa"/>
                  <w:tcBorders>
                    <w:right w:val="single" w:sz="8" w:space="0" w:color="auto"/>
                  </w:tcBorders>
                  <w:shd w:val="clear" w:color="auto" w:fill="auto"/>
                  <w:vAlign w:val="bottom"/>
                </w:tcPr>
                <w:p w:rsidR="00113BBD" w:rsidRPr="00113BBD" w:rsidRDefault="00113BBD" w:rsidP="00113BBD">
                  <w:pPr>
                    <w:spacing w:line="177" w:lineRule="exact"/>
                    <w:ind w:right="1340"/>
                    <w:jc w:val="right"/>
                    <w:rPr>
                      <w:rFonts w:ascii="Arial" w:eastAsia="Arial" w:hAnsi="Arial"/>
                      <w:b/>
                      <w:sz w:val="16"/>
                    </w:rPr>
                  </w:pPr>
                  <w:r w:rsidRPr="00113BBD">
                    <w:rPr>
                      <w:rFonts w:ascii="Arial" w:eastAsia="Arial" w:hAnsi="Arial"/>
                      <w:b/>
                      <w:sz w:val="16"/>
                    </w:rPr>
                    <w:t>31/08/2020</w:t>
                  </w:r>
                </w:p>
              </w:tc>
            </w:tr>
            <w:tr w:rsidR="00113BBD" w:rsidRPr="00113BBD" w:rsidTr="00FE003D">
              <w:trPr>
                <w:trHeight w:val="168"/>
              </w:trPr>
              <w:tc>
                <w:tcPr>
                  <w:tcW w:w="5942" w:type="dxa"/>
                  <w:tcBorders>
                    <w:right w:val="single" w:sz="8" w:space="0" w:color="auto"/>
                  </w:tcBorders>
                  <w:shd w:val="clear" w:color="auto" w:fill="auto"/>
                  <w:vAlign w:val="bottom"/>
                </w:tcPr>
                <w:p w:rsidR="00113BBD" w:rsidRPr="00113BBD" w:rsidRDefault="00113BBD" w:rsidP="00113BBD">
                  <w:pPr>
                    <w:spacing w:line="177" w:lineRule="exact"/>
                    <w:ind w:left="60"/>
                    <w:rPr>
                      <w:rFonts w:ascii="Arial" w:eastAsia="Arial" w:hAnsi="Arial"/>
                      <w:b/>
                      <w:sz w:val="16"/>
                    </w:rPr>
                  </w:pPr>
                </w:p>
              </w:tc>
              <w:tc>
                <w:tcPr>
                  <w:tcW w:w="3359" w:type="dxa"/>
                  <w:tcBorders>
                    <w:right w:val="single" w:sz="8" w:space="0" w:color="auto"/>
                  </w:tcBorders>
                  <w:shd w:val="clear" w:color="auto" w:fill="auto"/>
                  <w:vAlign w:val="bottom"/>
                </w:tcPr>
                <w:p w:rsidR="00113BBD" w:rsidRPr="00113BBD" w:rsidRDefault="00113BBD" w:rsidP="00113BBD">
                  <w:pPr>
                    <w:spacing w:line="177" w:lineRule="exact"/>
                    <w:ind w:right="1340"/>
                    <w:jc w:val="right"/>
                    <w:rPr>
                      <w:rFonts w:ascii="Arial" w:eastAsia="Arial" w:hAnsi="Arial"/>
                      <w:b/>
                      <w:sz w:val="16"/>
                    </w:rPr>
                  </w:pPr>
                </w:p>
              </w:tc>
            </w:tr>
          </w:tbl>
          <w:p w:rsidR="00113BBD" w:rsidRPr="00113BBD" w:rsidRDefault="00113BBD" w:rsidP="00113BBD">
            <w:pPr>
              <w:rPr>
                <w:rFonts w:ascii="Arial" w:eastAsia="Arial" w:hAnsi="Arial"/>
                <w:b/>
                <w:sz w:val="16"/>
              </w:rPr>
            </w:pPr>
          </w:p>
        </w:tc>
        <w:tc>
          <w:tcPr>
            <w:tcW w:w="2292"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113BBD" w:rsidRPr="00113BBD" w:rsidTr="00FE003D">
              <w:trPr>
                <w:trHeight w:val="168"/>
              </w:trPr>
              <w:tc>
                <w:tcPr>
                  <w:tcW w:w="5942" w:type="dxa"/>
                  <w:tcBorders>
                    <w:right w:val="single" w:sz="8" w:space="0" w:color="auto"/>
                  </w:tcBorders>
                  <w:shd w:val="clear" w:color="auto" w:fill="auto"/>
                  <w:vAlign w:val="bottom"/>
                </w:tcPr>
                <w:p w:rsidR="00113BBD" w:rsidRPr="00113BBD" w:rsidRDefault="00113BBD" w:rsidP="00113BBD">
                  <w:pPr>
                    <w:spacing w:line="177" w:lineRule="exact"/>
                    <w:rPr>
                      <w:rFonts w:ascii="Arial" w:eastAsia="Arial" w:hAnsi="Arial"/>
                      <w:b/>
                      <w:sz w:val="16"/>
                    </w:rPr>
                  </w:pPr>
                  <w:r w:rsidRPr="00113BBD">
                    <w:rPr>
                      <w:rFonts w:ascii="Arial" w:eastAsia="Arial" w:hAnsi="Arial"/>
                      <w:b/>
                      <w:sz w:val="16"/>
                    </w:rPr>
                    <w:t>30/11/2023</w:t>
                  </w:r>
                </w:p>
              </w:tc>
              <w:tc>
                <w:tcPr>
                  <w:tcW w:w="3359" w:type="dxa"/>
                  <w:tcBorders>
                    <w:right w:val="single" w:sz="8" w:space="0" w:color="auto"/>
                  </w:tcBorders>
                  <w:shd w:val="clear" w:color="auto" w:fill="auto"/>
                  <w:vAlign w:val="bottom"/>
                </w:tcPr>
                <w:p w:rsidR="00113BBD" w:rsidRPr="00113BBD" w:rsidRDefault="00113BBD" w:rsidP="00113BBD">
                  <w:pPr>
                    <w:spacing w:line="177" w:lineRule="exact"/>
                    <w:ind w:right="1340"/>
                    <w:jc w:val="right"/>
                    <w:rPr>
                      <w:rFonts w:ascii="Arial" w:eastAsia="Arial" w:hAnsi="Arial"/>
                      <w:b/>
                      <w:sz w:val="16"/>
                    </w:rPr>
                  </w:pPr>
                  <w:r w:rsidRPr="00113BBD">
                    <w:rPr>
                      <w:rFonts w:ascii="Arial" w:eastAsia="Arial" w:hAnsi="Arial"/>
                      <w:b/>
                      <w:sz w:val="16"/>
                    </w:rPr>
                    <w:t>31/08/2020</w:t>
                  </w:r>
                </w:p>
              </w:tc>
            </w:tr>
          </w:tbl>
          <w:p w:rsidR="00113BBD" w:rsidRPr="00113BBD" w:rsidRDefault="00113BBD" w:rsidP="00113BBD">
            <w:pPr>
              <w:rPr>
                <w:rFonts w:ascii="Arial" w:eastAsia="Arial" w:hAnsi="Arial"/>
                <w:b/>
                <w:sz w:val="16"/>
              </w:rPr>
            </w:pPr>
          </w:p>
        </w:tc>
      </w:tr>
      <w:tr w:rsidR="00113BBD" w:rsidRPr="00113BBD" w:rsidTr="00FE003D">
        <w:trPr>
          <w:trHeight w:val="336"/>
        </w:trPr>
        <w:tc>
          <w:tcPr>
            <w:tcW w:w="344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0" w:lineRule="atLeast"/>
              <w:rPr>
                <w:rFonts w:ascii="Times New Roman" w:eastAsia="Times New Roman" w:hAnsi="Times New Roman"/>
                <w:sz w:val="15"/>
              </w:rPr>
            </w:pPr>
            <w:r w:rsidRPr="00113BBD">
              <w:rPr>
                <w:rFonts w:ascii="Arial" w:eastAsia="Arial" w:hAnsi="Arial"/>
                <w:b/>
                <w:sz w:val="16"/>
              </w:rPr>
              <w:t>Verifiche e controlli/funzionalità</w:t>
            </w:r>
          </w:p>
        </w:tc>
        <w:tc>
          <w:tcPr>
            <w:tcW w:w="3955" w:type="dxa"/>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177" w:lineRule="exact"/>
              <w:ind w:left="60"/>
              <w:rPr>
                <w:rFonts w:ascii="Arial" w:eastAsia="Arial" w:hAnsi="Arial"/>
                <w:b/>
                <w:sz w:val="16"/>
              </w:rPr>
            </w:pPr>
            <w:r w:rsidRPr="00113BBD">
              <w:rPr>
                <w:rFonts w:ascii="Arial" w:eastAsia="Arial" w:hAnsi="Arial"/>
                <w:b/>
                <w:sz w:val="16"/>
              </w:rPr>
              <w:t>01/12/2023</w:t>
            </w:r>
          </w:p>
        </w:tc>
        <w:tc>
          <w:tcPr>
            <w:tcW w:w="2292" w:type="dxa"/>
            <w:tcBorders>
              <w:top w:val="single" w:sz="4" w:space="0" w:color="auto"/>
              <w:left w:val="single" w:sz="4" w:space="0" w:color="auto"/>
              <w:bottom w:val="single" w:sz="4" w:space="0" w:color="auto"/>
              <w:right w:val="single" w:sz="4" w:space="0" w:color="auto"/>
            </w:tcBorders>
            <w:shd w:val="clear" w:color="auto" w:fill="auto"/>
            <w:vAlign w:val="bottom"/>
          </w:tcPr>
          <w:p w:rsidR="00113BBD" w:rsidRPr="00113BBD" w:rsidRDefault="00113BBD" w:rsidP="00113BBD">
            <w:pPr>
              <w:spacing w:line="177" w:lineRule="exact"/>
              <w:ind w:right="1340"/>
              <w:jc w:val="center"/>
              <w:rPr>
                <w:rFonts w:ascii="Arial" w:eastAsia="Arial" w:hAnsi="Arial"/>
                <w:b/>
                <w:sz w:val="16"/>
              </w:rPr>
            </w:pPr>
            <w:r w:rsidRPr="00113BBD">
              <w:rPr>
                <w:rFonts w:ascii="Arial" w:eastAsia="Arial" w:hAnsi="Arial"/>
                <w:b/>
                <w:sz w:val="16"/>
              </w:rPr>
              <w:t>31/12/2023</w:t>
            </w:r>
          </w:p>
        </w:tc>
      </w:tr>
    </w:tbl>
    <w:p w:rsidR="00113BBD" w:rsidRDefault="00113BBD" w:rsidP="00113BBD">
      <w:pPr>
        <w:jc w:val="both"/>
        <w:rPr>
          <w:rFonts w:ascii="Arial" w:eastAsia="Arial" w:hAnsi="Arial"/>
          <w:b/>
          <w:sz w:val="22"/>
        </w:rPr>
      </w:pPr>
    </w:p>
    <w:p w:rsidR="00113BBD" w:rsidRPr="00113BBD" w:rsidRDefault="00113BBD" w:rsidP="00113BBD">
      <w:r w:rsidRPr="00113BBD">
        <w:rPr>
          <w:b/>
        </w:rPr>
        <w:t>Data inizio intervento</w:t>
      </w:r>
      <w:r w:rsidRPr="00113BBD">
        <w:t>: 1 giugno 2022</w:t>
      </w:r>
    </w:p>
    <w:p w:rsidR="00113BBD" w:rsidRPr="00113BBD" w:rsidRDefault="00113BBD" w:rsidP="00113BBD">
      <w:r w:rsidRPr="00113BBD">
        <w:rPr>
          <w:b/>
        </w:rPr>
        <w:t>Data fine intervento</w:t>
      </w:r>
      <w:r w:rsidRPr="00113BBD">
        <w:t>: 31 dicembre 2023</w:t>
      </w:r>
    </w:p>
    <w:p w:rsidR="00C77226" w:rsidRPr="00C77226" w:rsidRDefault="00C77226" w:rsidP="00C77226">
      <w:pPr>
        <w:jc w:val="center"/>
      </w:pPr>
      <w:r w:rsidRPr="00C77226">
        <w:rPr>
          <w:rFonts w:ascii="Arial" w:eastAsia="Arial" w:hAnsi="Arial"/>
          <w:b/>
          <w:sz w:val="22"/>
        </w:rPr>
        <w:t>Cronoprogramma finanziario</w:t>
      </w:r>
    </w:p>
    <w:p w:rsidR="00C77226" w:rsidRPr="00C77226" w:rsidRDefault="00C77226" w:rsidP="00C77226"/>
    <w:p w:rsidR="00C77226" w:rsidRDefault="00C77226"/>
    <w:tbl>
      <w:tblPr>
        <w:tblpPr w:leftFromText="141" w:rightFromText="141" w:vertAnchor="text" w:tblpY="1"/>
        <w:tblOverlap w:val="never"/>
        <w:tblW w:w="9668" w:type="dxa"/>
        <w:tblLayout w:type="fixed"/>
        <w:tblCellMar>
          <w:left w:w="0" w:type="dxa"/>
          <w:right w:w="0" w:type="dxa"/>
        </w:tblCellMar>
        <w:tblLook w:val="0000" w:firstRow="0" w:lastRow="0" w:firstColumn="0" w:lastColumn="0" w:noHBand="0" w:noVBand="0"/>
      </w:tblPr>
      <w:tblGrid>
        <w:gridCol w:w="7367"/>
        <w:gridCol w:w="2301"/>
      </w:tblGrid>
      <w:tr w:rsidR="00113BBD" w:rsidRPr="00113BBD" w:rsidTr="00FE003D">
        <w:trPr>
          <w:trHeight w:val="218"/>
        </w:trPr>
        <w:tc>
          <w:tcPr>
            <w:tcW w:w="7367" w:type="dxa"/>
            <w:tcBorders>
              <w:left w:val="single" w:sz="8" w:space="0" w:color="auto"/>
              <w:bottom w:val="single" w:sz="8" w:space="0" w:color="808080"/>
              <w:right w:val="single" w:sz="8" w:space="0" w:color="auto"/>
            </w:tcBorders>
            <w:shd w:val="clear" w:color="auto" w:fill="808080"/>
            <w:vAlign w:val="bottom"/>
          </w:tcPr>
          <w:p w:rsidR="00113BBD" w:rsidRPr="00113BBD" w:rsidRDefault="00113BBD" w:rsidP="00113BBD">
            <w:pPr>
              <w:rPr>
                <w:b/>
              </w:rPr>
            </w:pPr>
          </w:p>
        </w:tc>
        <w:tc>
          <w:tcPr>
            <w:tcW w:w="2301" w:type="dxa"/>
            <w:tcBorders>
              <w:bottom w:val="single" w:sz="8" w:space="0" w:color="808080"/>
              <w:right w:val="single" w:sz="8" w:space="0" w:color="auto"/>
            </w:tcBorders>
            <w:shd w:val="clear" w:color="auto" w:fill="808080"/>
            <w:vAlign w:val="bottom"/>
          </w:tcPr>
          <w:p w:rsidR="00113BBD" w:rsidRPr="00113BBD" w:rsidRDefault="00113BBD" w:rsidP="00113BBD">
            <w:pPr>
              <w:rPr>
                <w:b/>
              </w:rPr>
            </w:pPr>
            <w:r w:rsidRPr="00113BBD">
              <w:rPr>
                <w:b/>
              </w:rPr>
              <w:t>Costo</w:t>
            </w:r>
          </w:p>
        </w:tc>
      </w:tr>
      <w:tr w:rsidR="00113BBD" w:rsidRPr="00113BBD" w:rsidTr="00FE003D">
        <w:trPr>
          <w:trHeight w:val="44"/>
        </w:trPr>
        <w:tc>
          <w:tcPr>
            <w:tcW w:w="7367" w:type="dxa"/>
            <w:vMerge w:val="restart"/>
            <w:tcBorders>
              <w:left w:val="single" w:sz="8" w:space="0" w:color="auto"/>
              <w:right w:val="single" w:sz="8" w:space="0" w:color="auto"/>
            </w:tcBorders>
            <w:shd w:val="clear" w:color="auto" w:fill="auto"/>
            <w:vAlign w:val="center"/>
          </w:tcPr>
          <w:p w:rsidR="00113BBD" w:rsidRPr="00113BBD" w:rsidRDefault="00113BBD" w:rsidP="00113BBD">
            <w:pPr>
              <w:jc w:val="right"/>
              <w:rPr>
                <w:b/>
              </w:rPr>
            </w:pPr>
            <w:r w:rsidRPr="00113BBD">
              <w:rPr>
                <w:b/>
              </w:rPr>
              <w:t>2022</w:t>
            </w:r>
          </w:p>
        </w:tc>
        <w:tc>
          <w:tcPr>
            <w:tcW w:w="2301" w:type="dxa"/>
            <w:tcBorders>
              <w:left w:val="single" w:sz="8" w:space="0" w:color="auto"/>
              <w:right w:val="single" w:sz="8" w:space="0" w:color="auto"/>
            </w:tcBorders>
            <w:shd w:val="clear" w:color="auto" w:fill="auto"/>
            <w:vAlign w:val="bottom"/>
          </w:tcPr>
          <w:p w:rsidR="00113BBD" w:rsidRPr="00113BBD" w:rsidRDefault="00113BBD" w:rsidP="00113BBD">
            <w:pPr>
              <w:jc w:val="center"/>
              <w:rPr>
                <w:b/>
              </w:rPr>
            </w:pPr>
            <w:r>
              <w:rPr>
                <w:b/>
              </w:rPr>
              <w:t>56.000,00</w:t>
            </w:r>
          </w:p>
        </w:tc>
      </w:tr>
      <w:tr w:rsidR="00113BBD" w:rsidRPr="00113BBD" w:rsidTr="00FE003D">
        <w:trPr>
          <w:trHeight w:val="146"/>
        </w:trPr>
        <w:tc>
          <w:tcPr>
            <w:tcW w:w="7367" w:type="dxa"/>
            <w:vMerge/>
            <w:tcBorders>
              <w:left w:val="single" w:sz="8" w:space="0" w:color="auto"/>
              <w:bottom w:val="single" w:sz="8" w:space="0" w:color="auto"/>
              <w:right w:val="single" w:sz="8" w:space="0" w:color="auto"/>
            </w:tcBorders>
            <w:shd w:val="clear" w:color="auto" w:fill="auto"/>
            <w:vAlign w:val="center"/>
          </w:tcPr>
          <w:p w:rsidR="00113BBD" w:rsidRPr="00113BBD" w:rsidRDefault="00113BBD" w:rsidP="00113BBD">
            <w:pPr>
              <w:jc w:val="right"/>
            </w:pPr>
          </w:p>
        </w:tc>
        <w:tc>
          <w:tcPr>
            <w:tcW w:w="2301" w:type="dxa"/>
            <w:tcBorders>
              <w:left w:val="single" w:sz="8" w:space="0" w:color="auto"/>
              <w:bottom w:val="single" w:sz="8" w:space="0" w:color="auto"/>
              <w:right w:val="single" w:sz="8" w:space="0" w:color="auto"/>
            </w:tcBorders>
            <w:shd w:val="clear" w:color="auto" w:fill="auto"/>
            <w:vAlign w:val="bottom"/>
          </w:tcPr>
          <w:p w:rsidR="00113BBD" w:rsidRPr="00113BBD" w:rsidRDefault="00113BBD" w:rsidP="00113BBD">
            <w:pPr>
              <w:jc w:val="center"/>
              <w:rPr>
                <w:b/>
              </w:rPr>
            </w:pPr>
          </w:p>
        </w:tc>
      </w:tr>
      <w:tr w:rsidR="00113BBD" w:rsidRPr="00113BBD" w:rsidTr="00FE003D">
        <w:trPr>
          <w:trHeight w:val="180"/>
        </w:trPr>
        <w:tc>
          <w:tcPr>
            <w:tcW w:w="7367" w:type="dxa"/>
            <w:vMerge w:val="restart"/>
            <w:tcBorders>
              <w:left w:val="single" w:sz="8" w:space="0" w:color="auto"/>
              <w:right w:val="single" w:sz="8" w:space="0" w:color="auto"/>
            </w:tcBorders>
            <w:shd w:val="clear" w:color="auto" w:fill="auto"/>
            <w:vAlign w:val="center"/>
          </w:tcPr>
          <w:p w:rsidR="00113BBD" w:rsidRPr="00113BBD" w:rsidRDefault="00113BBD" w:rsidP="00113BBD">
            <w:pPr>
              <w:jc w:val="right"/>
              <w:rPr>
                <w:b/>
              </w:rPr>
            </w:pPr>
            <w:r w:rsidRPr="00113BBD">
              <w:rPr>
                <w:b/>
              </w:rPr>
              <w:t>2023</w:t>
            </w:r>
          </w:p>
        </w:tc>
        <w:tc>
          <w:tcPr>
            <w:tcW w:w="2301" w:type="dxa"/>
            <w:tcBorders>
              <w:left w:val="single" w:sz="8" w:space="0" w:color="auto"/>
              <w:right w:val="single" w:sz="8" w:space="0" w:color="auto"/>
            </w:tcBorders>
            <w:shd w:val="clear" w:color="auto" w:fill="auto"/>
            <w:vAlign w:val="bottom"/>
          </w:tcPr>
          <w:p w:rsidR="00113BBD" w:rsidRPr="00113BBD" w:rsidRDefault="00113BBD" w:rsidP="00113BBD">
            <w:pPr>
              <w:jc w:val="center"/>
              <w:rPr>
                <w:b/>
              </w:rPr>
            </w:pPr>
            <w:r>
              <w:rPr>
                <w:b/>
              </w:rPr>
              <w:t>14.000,00</w:t>
            </w:r>
          </w:p>
        </w:tc>
      </w:tr>
      <w:tr w:rsidR="00113BBD" w:rsidRPr="00113BBD" w:rsidTr="00FE003D">
        <w:trPr>
          <w:trHeight w:val="146"/>
        </w:trPr>
        <w:tc>
          <w:tcPr>
            <w:tcW w:w="7367" w:type="dxa"/>
            <w:vMerge/>
            <w:tcBorders>
              <w:left w:val="single" w:sz="8" w:space="0" w:color="auto"/>
              <w:bottom w:val="single" w:sz="8" w:space="0" w:color="auto"/>
              <w:right w:val="single" w:sz="8" w:space="0" w:color="auto"/>
            </w:tcBorders>
            <w:shd w:val="clear" w:color="auto" w:fill="auto"/>
            <w:vAlign w:val="bottom"/>
          </w:tcPr>
          <w:p w:rsidR="00113BBD" w:rsidRPr="00113BBD" w:rsidRDefault="00113BBD" w:rsidP="00113BBD"/>
        </w:tc>
        <w:tc>
          <w:tcPr>
            <w:tcW w:w="2301" w:type="dxa"/>
            <w:tcBorders>
              <w:left w:val="single" w:sz="8" w:space="0" w:color="auto"/>
              <w:bottom w:val="single" w:sz="8" w:space="0" w:color="auto"/>
              <w:right w:val="single" w:sz="8" w:space="0" w:color="auto"/>
            </w:tcBorders>
            <w:shd w:val="clear" w:color="auto" w:fill="auto"/>
            <w:vAlign w:val="bottom"/>
          </w:tcPr>
          <w:p w:rsidR="00113BBD" w:rsidRPr="00113BBD" w:rsidRDefault="00113BBD" w:rsidP="00113BBD">
            <w:pPr>
              <w:jc w:val="center"/>
              <w:rPr>
                <w:b/>
              </w:rPr>
            </w:pPr>
          </w:p>
        </w:tc>
      </w:tr>
      <w:tr w:rsidR="00113BBD" w:rsidRPr="00113BBD" w:rsidTr="00FE003D">
        <w:trPr>
          <w:trHeight w:val="426"/>
        </w:trPr>
        <w:tc>
          <w:tcPr>
            <w:tcW w:w="7367" w:type="dxa"/>
            <w:tcBorders>
              <w:top w:val="single" w:sz="8" w:space="0" w:color="auto"/>
              <w:left w:val="single" w:sz="8" w:space="0" w:color="auto"/>
              <w:bottom w:val="single" w:sz="4" w:space="0" w:color="auto"/>
              <w:right w:val="single" w:sz="8" w:space="0" w:color="auto"/>
            </w:tcBorders>
            <w:shd w:val="clear" w:color="auto" w:fill="auto"/>
            <w:vAlign w:val="center"/>
          </w:tcPr>
          <w:p w:rsidR="00113BBD" w:rsidRPr="00113BBD" w:rsidRDefault="00113BBD" w:rsidP="00113BBD">
            <w:r w:rsidRPr="00113BBD">
              <w:rPr>
                <w:b/>
              </w:rPr>
              <w:t>Costo totale</w:t>
            </w:r>
          </w:p>
        </w:tc>
        <w:tc>
          <w:tcPr>
            <w:tcW w:w="2301" w:type="dxa"/>
            <w:tcBorders>
              <w:top w:val="single" w:sz="8" w:space="0" w:color="auto"/>
              <w:left w:val="single" w:sz="8" w:space="0" w:color="auto"/>
              <w:bottom w:val="single" w:sz="4" w:space="0" w:color="auto"/>
              <w:right w:val="single" w:sz="8" w:space="0" w:color="auto"/>
            </w:tcBorders>
            <w:shd w:val="clear" w:color="auto" w:fill="auto"/>
            <w:vAlign w:val="center"/>
          </w:tcPr>
          <w:p w:rsidR="00113BBD" w:rsidRPr="00113BBD" w:rsidRDefault="00113BBD" w:rsidP="00113BBD">
            <w:pPr>
              <w:jc w:val="center"/>
              <w:rPr>
                <w:b/>
              </w:rPr>
            </w:pPr>
            <w:r>
              <w:rPr>
                <w:b/>
              </w:rPr>
              <w:t>70.000,00</w:t>
            </w:r>
          </w:p>
        </w:tc>
      </w:tr>
    </w:tbl>
    <w:p w:rsidR="00113BBD" w:rsidRDefault="00113BBD"/>
    <w:sectPr w:rsidR="00113BBD"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91B61"/>
    <w:multiLevelType w:val="hybridMultilevel"/>
    <w:tmpl w:val="32ECD5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2">
    <w:nsid w:val="26012F86"/>
    <w:multiLevelType w:val="hybridMultilevel"/>
    <w:tmpl w:val="BB9C0934"/>
    <w:lvl w:ilvl="0" w:tplc="5400DF94">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6D2876"/>
    <w:multiLevelType w:val="hybridMultilevel"/>
    <w:tmpl w:val="C7B01F02"/>
    <w:lvl w:ilvl="0" w:tplc="5400DF94">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5">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BF488D"/>
    <w:rsid w:val="00027944"/>
    <w:rsid w:val="000F6D85"/>
    <w:rsid w:val="00113BBD"/>
    <w:rsid w:val="0011610E"/>
    <w:rsid w:val="0014022D"/>
    <w:rsid w:val="00196D20"/>
    <w:rsid w:val="001D415D"/>
    <w:rsid w:val="001E35D9"/>
    <w:rsid w:val="001F155D"/>
    <w:rsid w:val="0023672D"/>
    <w:rsid w:val="002C7DF3"/>
    <w:rsid w:val="003169B1"/>
    <w:rsid w:val="003457CD"/>
    <w:rsid w:val="003523B9"/>
    <w:rsid w:val="003576F0"/>
    <w:rsid w:val="003B552C"/>
    <w:rsid w:val="003D1B80"/>
    <w:rsid w:val="003F2898"/>
    <w:rsid w:val="00400BB8"/>
    <w:rsid w:val="00433E4F"/>
    <w:rsid w:val="00445281"/>
    <w:rsid w:val="00475651"/>
    <w:rsid w:val="004B09DF"/>
    <w:rsid w:val="004C4AEA"/>
    <w:rsid w:val="004C6DF8"/>
    <w:rsid w:val="00515AD2"/>
    <w:rsid w:val="00535BF2"/>
    <w:rsid w:val="00572E47"/>
    <w:rsid w:val="00585080"/>
    <w:rsid w:val="005907C6"/>
    <w:rsid w:val="005A20DE"/>
    <w:rsid w:val="005C7000"/>
    <w:rsid w:val="005E65DF"/>
    <w:rsid w:val="0060378B"/>
    <w:rsid w:val="006041D7"/>
    <w:rsid w:val="0063135E"/>
    <w:rsid w:val="0065405E"/>
    <w:rsid w:val="006A7AD8"/>
    <w:rsid w:val="00706F1B"/>
    <w:rsid w:val="007133E5"/>
    <w:rsid w:val="00721A85"/>
    <w:rsid w:val="00756818"/>
    <w:rsid w:val="007723C7"/>
    <w:rsid w:val="007802EF"/>
    <w:rsid w:val="00787F64"/>
    <w:rsid w:val="008164FC"/>
    <w:rsid w:val="00840E2A"/>
    <w:rsid w:val="00850473"/>
    <w:rsid w:val="0085317D"/>
    <w:rsid w:val="00871276"/>
    <w:rsid w:val="008F296A"/>
    <w:rsid w:val="00925EE1"/>
    <w:rsid w:val="00982B59"/>
    <w:rsid w:val="00985673"/>
    <w:rsid w:val="009C4FAF"/>
    <w:rsid w:val="00A06DD8"/>
    <w:rsid w:val="00A11F01"/>
    <w:rsid w:val="00A35DBF"/>
    <w:rsid w:val="00AA4201"/>
    <w:rsid w:val="00AA48E5"/>
    <w:rsid w:val="00AB4E7D"/>
    <w:rsid w:val="00AE1294"/>
    <w:rsid w:val="00B04819"/>
    <w:rsid w:val="00B23AD0"/>
    <w:rsid w:val="00B523D6"/>
    <w:rsid w:val="00B52D12"/>
    <w:rsid w:val="00B5741C"/>
    <w:rsid w:val="00B873D2"/>
    <w:rsid w:val="00BA3CB8"/>
    <w:rsid w:val="00BF19E1"/>
    <w:rsid w:val="00BF488D"/>
    <w:rsid w:val="00C77226"/>
    <w:rsid w:val="00CA03FD"/>
    <w:rsid w:val="00CA6CDE"/>
    <w:rsid w:val="00CC2FB7"/>
    <w:rsid w:val="00CF0362"/>
    <w:rsid w:val="00D11E4C"/>
    <w:rsid w:val="00D21C91"/>
    <w:rsid w:val="00D30549"/>
    <w:rsid w:val="00D41EE9"/>
    <w:rsid w:val="00D60AD8"/>
    <w:rsid w:val="00D80EEA"/>
    <w:rsid w:val="00DC3590"/>
    <w:rsid w:val="00DD3322"/>
    <w:rsid w:val="00DD7F98"/>
    <w:rsid w:val="00DE3487"/>
    <w:rsid w:val="00E05D86"/>
    <w:rsid w:val="00E40C18"/>
    <w:rsid w:val="00E566D0"/>
    <w:rsid w:val="00E8105D"/>
    <w:rsid w:val="00EA711C"/>
    <w:rsid w:val="00EB55A2"/>
    <w:rsid w:val="00ED5C90"/>
    <w:rsid w:val="00F15E51"/>
    <w:rsid w:val="00F22E89"/>
    <w:rsid w:val="00F35528"/>
    <w:rsid w:val="00FC79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88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customStyle="1" w:styleId="Default">
    <w:name w:val="Default"/>
    <w:rsid w:val="004C4AEA"/>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515A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AFF8A-AF10-4248-8E43-A4CFEB02A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Pages>
  <Words>2156</Words>
  <Characters>12291</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29</cp:revision>
  <dcterms:created xsi:type="dcterms:W3CDTF">2020-03-23T20:52:00Z</dcterms:created>
  <dcterms:modified xsi:type="dcterms:W3CDTF">2021-03-02T15:04:00Z</dcterms:modified>
</cp:coreProperties>
</file>